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235ABA"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235ABA" w:rsidTr="005F7F7E">
        <w:tc>
          <w:tcPr>
            <w:tcW w:w="2438" w:type="dxa"/>
            <w:shd w:val="clear" w:color="auto" w:fill="auto"/>
          </w:tcPr>
          <w:p w:rsidR="00F445B1" w:rsidRPr="00235ABA" w:rsidRDefault="00F445B1" w:rsidP="004A6D2F">
            <w:pPr>
              <w:rPr>
                <w:rStyle w:val="Firstpagetablebold"/>
              </w:rPr>
            </w:pPr>
            <w:r w:rsidRPr="00235ABA">
              <w:rPr>
                <w:rStyle w:val="Firstpagetablebold"/>
              </w:rPr>
              <w:t>To</w:t>
            </w:r>
            <w:r w:rsidR="005C35A5" w:rsidRPr="00235ABA">
              <w:rPr>
                <w:rStyle w:val="Firstpagetablebold"/>
              </w:rPr>
              <w:t>:</w:t>
            </w:r>
          </w:p>
        </w:tc>
        <w:tc>
          <w:tcPr>
            <w:tcW w:w="6406" w:type="dxa"/>
            <w:shd w:val="clear" w:color="auto" w:fill="auto"/>
          </w:tcPr>
          <w:p w:rsidR="00F445B1" w:rsidRPr="00235ABA" w:rsidRDefault="00F445B1" w:rsidP="004A6D2F">
            <w:pPr>
              <w:rPr>
                <w:rStyle w:val="Firstpagetablebold"/>
              </w:rPr>
            </w:pPr>
            <w:r w:rsidRPr="00235ABA">
              <w:rPr>
                <w:rStyle w:val="Firstpagetablebold"/>
              </w:rPr>
              <w:t>City Executive Board</w:t>
            </w:r>
          </w:p>
        </w:tc>
      </w:tr>
      <w:tr w:rsidR="00CE544A" w:rsidRPr="00235ABA" w:rsidTr="005F7F7E">
        <w:tc>
          <w:tcPr>
            <w:tcW w:w="2438" w:type="dxa"/>
            <w:shd w:val="clear" w:color="auto" w:fill="auto"/>
          </w:tcPr>
          <w:p w:rsidR="00F445B1" w:rsidRPr="00235ABA" w:rsidRDefault="00F445B1" w:rsidP="004A6D2F">
            <w:pPr>
              <w:rPr>
                <w:rStyle w:val="Firstpagetablebold"/>
              </w:rPr>
            </w:pPr>
            <w:r w:rsidRPr="00235ABA">
              <w:rPr>
                <w:rStyle w:val="Firstpagetablebold"/>
              </w:rPr>
              <w:t>Dat</w:t>
            </w:r>
            <w:r w:rsidR="005C35A5" w:rsidRPr="00235ABA">
              <w:rPr>
                <w:rStyle w:val="Firstpagetablebold"/>
              </w:rPr>
              <w:t>e:</w:t>
            </w:r>
          </w:p>
        </w:tc>
        <w:tc>
          <w:tcPr>
            <w:tcW w:w="6406" w:type="dxa"/>
            <w:shd w:val="clear" w:color="auto" w:fill="auto"/>
          </w:tcPr>
          <w:p w:rsidR="00F445B1" w:rsidRPr="00235ABA" w:rsidRDefault="002D6476" w:rsidP="005D0621">
            <w:pPr>
              <w:rPr>
                <w:b/>
              </w:rPr>
            </w:pPr>
            <w:r w:rsidRPr="00235ABA">
              <w:rPr>
                <w:rStyle w:val="Firstpagetablebold"/>
              </w:rPr>
              <w:t>22</w:t>
            </w:r>
            <w:r w:rsidR="005E1F84">
              <w:rPr>
                <w:rStyle w:val="Firstpagetablebold"/>
                <w:vertAlign w:val="superscript"/>
              </w:rPr>
              <w:t xml:space="preserve"> </w:t>
            </w:r>
            <w:r w:rsidRPr="00235ABA">
              <w:rPr>
                <w:rStyle w:val="Firstpagetablebold"/>
              </w:rPr>
              <w:t>January</w:t>
            </w:r>
          </w:p>
        </w:tc>
      </w:tr>
      <w:tr w:rsidR="00CE544A" w:rsidRPr="00235ABA" w:rsidTr="005F7F7E">
        <w:tc>
          <w:tcPr>
            <w:tcW w:w="2438" w:type="dxa"/>
            <w:shd w:val="clear" w:color="auto" w:fill="auto"/>
          </w:tcPr>
          <w:p w:rsidR="00F445B1" w:rsidRPr="00235ABA" w:rsidRDefault="00F445B1" w:rsidP="004A6D2F">
            <w:pPr>
              <w:rPr>
                <w:rStyle w:val="Firstpagetablebold"/>
              </w:rPr>
            </w:pPr>
            <w:r w:rsidRPr="00235ABA">
              <w:rPr>
                <w:rStyle w:val="Firstpagetablebold"/>
              </w:rPr>
              <w:t>Report of</w:t>
            </w:r>
            <w:r w:rsidR="005C35A5" w:rsidRPr="00235ABA">
              <w:rPr>
                <w:rStyle w:val="Firstpagetablebold"/>
              </w:rPr>
              <w:t>:</w:t>
            </w:r>
          </w:p>
        </w:tc>
        <w:tc>
          <w:tcPr>
            <w:tcW w:w="6406" w:type="dxa"/>
            <w:shd w:val="clear" w:color="auto" w:fill="auto"/>
          </w:tcPr>
          <w:p w:rsidR="00F445B1" w:rsidRPr="00235ABA" w:rsidRDefault="00FD1DFA" w:rsidP="002D6476">
            <w:pPr>
              <w:rPr>
                <w:rStyle w:val="Firstpagetablebold"/>
              </w:rPr>
            </w:pPr>
            <w:r w:rsidRPr="00235ABA">
              <w:rPr>
                <w:rStyle w:val="Firstpagetablebold"/>
              </w:rPr>
              <w:t xml:space="preserve">Executive Director </w:t>
            </w:r>
            <w:r w:rsidR="002D6476" w:rsidRPr="00235ABA">
              <w:rPr>
                <w:rStyle w:val="Firstpagetablebold"/>
              </w:rPr>
              <w:t>Sustainable City</w:t>
            </w:r>
          </w:p>
        </w:tc>
      </w:tr>
      <w:tr w:rsidR="00CE544A" w:rsidRPr="00235ABA" w:rsidTr="005F7F7E">
        <w:tc>
          <w:tcPr>
            <w:tcW w:w="2438" w:type="dxa"/>
            <w:shd w:val="clear" w:color="auto" w:fill="auto"/>
          </w:tcPr>
          <w:p w:rsidR="00F445B1" w:rsidRPr="00235ABA" w:rsidRDefault="00F445B1" w:rsidP="004A6D2F">
            <w:pPr>
              <w:rPr>
                <w:rStyle w:val="Firstpagetablebold"/>
              </w:rPr>
            </w:pPr>
            <w:r w:rsidRPr="00235ABA">
              <w:rPr>
                <w:rStyle w:val="Firstpagetablebold"/>
              </w:rPr>
              <w:t xml:space="preserve">Title of Report: </w:t>
            </w:r>
          </w:p>
        </w:tc>
        <w:tc>
          <w:tcPr>
            <w:tcW w:w="6406" w:type="dxa"/>
            <w:shd w:val="clear" w:color="auto" w:fill="auto"/>
          </w:tcPr>
          <w:p w:rsidR="002D6476" w:rsidRPr="00235ABA" w:rsidRDefault="002D6476" w:rsidP="004A6D2F">
            <w:pPr>
              <w:rPr>
                <w:rStyle w:val="Firstpagetablebold"/>
              </w:rPr>
            </w:pPr>
            <w:r w:rsidRPr="00235ABA">
              <w:rPr>
                <w:rStyle w:val="Firstpagetablebold"/>
              </w:rPr>
              <w:t>Project Approval – to relocate car park decking from Oxpens car park to Redbridge Park and Ride.</w:t>
            </w:r>
          </w:p>
          <w:p w:rsidR="00F445B1" w:rsidRPr="00235ABA" w:rsidRDefault="00F445B1" w:rsidP="004A6D2F">
            <w:pPr>
              <w:rPr>
                <w:rStyle w:val="Firstpagetablebold"/>
              </w:rPr>
            </w:pPr>
          </w:p>
        </w:tc>
      </w:tr>
    </w:tbl>
    <w:p w:rsidR="004F20EF" w:rsidRPr="00235ABA"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235ABA" w:rsidTr="0080749A">
        <w:tc>
          <w:tcPr>
            <w:tcW w:w="8845" w:type="dxa"/>
            <w:gridSpan w:val="3"/>
            <w:tcBorders>
              <w:bottom w:val="single" w:sz="8" w:space="0" w:color="000000"/>
            </w:tcBorders>
            <w:hideMark/>
          </w:tcPr>
          <w:p w:rsidR="00D5547E" w:rsidRPr="00235ABA" w:rsidRDefault="00745BF0" w:rsidP="00745BF0">
            <w:pPr>
              <w:jc w:val="center"/>
              <w:rPr>
                <w:rStyle w:val="Firstpagetablebold"/>
              </w:rPr>
            </w:pPr>
            <w:r w:rsidRPr="00235ABA">
              <w:rPr>
                <w:rStyle w:val="Firstpagetablebold"/>
              </w:rPr>
              <w:t>Summary and r</w:t>
            </w:r>
            <w:r w:rsidR="00D5547E" w:rsidRPr="00235ABA">
              <w:rPr>
                <w:rStyle w:val="Firstpagetablebold"/>
              </w:rPr>
              <w:t>ecommendations</w:t>
            </w:r>
          </w:p>
        </w:tc>
      </w:tr>
      <w:tr w:rsidR="00D5547E" w:rsidRPr="00235ABA" w:rsidTr="00004457">
        <w:tc>
          <w:tcPr>
            <w:tcW w:w="2438" w:type="dxa"/>
            <w:gridSpan w:val="2"/>
            <w:tcBorders>
              <w:top w:val="single" w:sz="8" w:space="0" w:color="000000"/>
              <w:left w:val="single" w:sz="8" w:space="0" w:color="000000"/>
              <w:bottom w:val="nil"/>
              <w:right w:val="nil"/>
            </w:tcBorders>
            <w:hideMark/>
          </w:tcPr>
          <w:p w:rsidR="00D5547E" w:rsidRPr="00235ABA" w:rsidRDefault="00D5547E">
            <w:pPr>
              <w:rPr>
                <w:rStyle w:val="Firstpagetablebold"/>
              </w:rPr>
            </w:pPr>
            <w:r w:rsidRPr="00235ABA">
              <w:rPr>
                <w:rStyle w:val="Firstpagetablebold"/>
              </w:rPr>
              <w:t>Purpose of report:</w:t>
            </w:r>
          </w:p>
        </w:tc>
        <w:tc>
          <w:tcPr>
            <w:tcW w:w="6407" w:type="dxa"/>
            <w:tcBorders>
              <w:top w:val="single" w:sz="8" w:space="0" w:color="000000"/>
              <w:left w:val="nil"/>
              <w:bottom w:val="nil"/>
              <w:right w:val="single" w:sz="8" w:space="0" w:color="000000"/>
            </w:tcBorders>
          </w:tcPr>
          <w:p w:rsidR="00D5547E" w:rsidRPr="00235ABA" w:rsidRDefault="002D6476" w:rsidP="00C43783">
            <w:r w:rsidRPr="00235ABA">
              <w:t xml:space="preserve">To seek project </w:t>
            </w:r>
            <w:r w:rsidR="00C43783" w:rsidRPr="00235ABA">
              <w:t>approval,</w:t>
            </w:r>
            <w:r w:rsidRPr="00235ABA">
              <w:t xml:space="preserve"> subject to budget approval</w:t>
            </w:r>
            <w:r w:rsidR="00C43783">
              <w:t xml:space="preserve"> by Council,</w:t>
            </w:r>
            <w:r w:rsidRPr="00235ABA">
              <w:t xml:space="preserve"> to relocate </w:t>
            </w:r>
            <w:r w:rsidR="00C43783">
              <w:t xml:space="preserve">and extend </w:t>
            </w:r>
            <w:r w:rsidRPr="00235ABA">
              <w:t xml:space="preserve">the car parking </w:t>
            </w:r>
            <w:r w:rsidR="00C43783" w:rsidRPr="00235ABA">
              <w:t>decking currently</w:t>
            </w:r>
            <w:r w:rsidRPr="00235ABA">
              <w:t xml:space="preserve"> at Oxpens car park </w:t>
            </w:r>
            <w:r w:rsidR="00C43783">
              <w:t>at Redbridge Park &amp;</w:t>
            </w:r>
            <w:r w:rsidRPr="00235ABA">
              <w:t xml:space="preserve"> Ride.</w:t>
            </w:r>
          </w:p>
        </w:tc>
      </w:tr>
      <w:tr w:rsidR="00D5547E" w:rsidRPr="00235ABA" w:rsidTr="0080749A">
        <w:tc>
          <w:tcPr>
            <w:tcW w:w="2438" w:type="dxa"/>
            <w:gridSpan w:val="2"/>
            <w:tcBorders>
              <w:top w:val="nil"/>
              <w:left w:val="single" w:sz="8" w:space="0" w:color="000000"/>
              <w:bottom w:val="nil"/>
              <w:right w:val="nil"/>
            </w:tcBorders>
            <w:hideMark/>
          </w:tcPr>
          <w:p w:rsidR="00D5547E" w:rsidRPr="00235ABA" w:rsidRDefault="00D5547E">
            <w:pPr>
              <w:rPr>
                <w:rStyle w:val="Firstpagetablebold"/>
              </w:rPr>
            </w:pPr>
            <w:r w:rsidRPr="00235ABA">
              <w:rPr>
                <w:rStyle w:val="Firstpagetablebold"/>
              </w:rPr>
              <w:t>Key decision:</w:t>
            </w:r>
          </w:p>
        </w:tc>
        <w:tc>
          <w:tcPr>
            <w:tcW w:w="6407" w:type="dxa"/>
            <w:tcBorders>
              <w:top w:val="nil"/>
              <w:left w:val="nil"/>
              <w:bottom w:val="nil"/>
              <w:right w:val="single" w:sz="8" w:space="0" w:color="000000"/>
            </w:tcBorders>
            <w:hideMark/>
          </w:tcPr>
          <w:p w:rsidR="00D5547E" w:rsidRPr="00235ABA" w:rsidRDefault="00D5547E" w:rsidP="002D6476">
            <w:r w:rsidRPr="00235ABA">
              <w:t xml:space="preserve">Yes </w:t>
            </w:r>
          </w:p>
        </w:tc>
      </w:tr>
      <w:tr w:rsidR="00004457" w:rsidRPr="00235ABA" w:rsidTr="00004457">
        <w:tc>
          <w:tcPr>
            <w:tcW w:w="2438" w:type="dxa"/>
            <w:gridSpan w:val="2"/>
            <w:tcBorders>
              <w:top w:val="nil"/>
              <w:left w:val="single" w:sz="8" w:space="0" w:color="000000"/>
              <w:bottom w:val="nil"/>
              <w:right w:val="nil"/>
            </w:tcBorders>
            <w:hideMark/>
          </w:tcPr>
          <w:p w:rsidR="00004457" w:rsidRPr="00235ABA" w:rsidRDefault="00004457">
            <w:pPr>
              <w:rPr>
                <w:rStyle w:val="Firstpagetablebold"/>
              </w:rPr>
            </w:pPr>
            <w:r w:rsidRPr="00235ABA">
              <w:rPr>
                <w:rStyle w:val="Firstpagetablebold"/>
              </w:rPr>
              <w:t>Executive Board Member:</w:t>
            </w:r>
          </w:p>
        </w:tc>
        <w:tc>
          <w:tcPr>
            <w:tcW w:w="6407" w:type="dxa"/>
            <w:tcBorders>
              <w:top w:val="nil"/>
              <w:left w:val="nil"/>
              <w:bottom w:val="nil"/>
              <w:right w:val="single" w:sz="8" w:space="0" w:color="000000"/>
            </w:tcBorders>
          </w:tcPr>
          <w:p w:rsidR="00004457" w:rsidRPr="00235ABA" w:rsidRDefault="00004457" w:rsidP="005D6102">
            <w:r w:rsidRPr="00235ABA">
              <w:t>Councillor Hollingsworth, Planning and Regulatory Services</w:t>
            </w:r>
          </w:p>
        </w:tc>
      </w:tr>
      <w:tr w:rsidR="00004457" w:rsidRPr="00235ABA" w:rsidTr="0080749A">
        <w:tc>
          <w:tcPr>
            <w:tcW w:w="2438" w:type="dxa"/>
            <w:gridSpan w:val="2"/>
            <w:tcBorders>
              <w:top w:val="nil"/>
              <w:left w:val="single" w:sz="8" w:space="0" w:color="000000"/>
              <w:bottom w:val="nil"/>
              <w:right w:val="nil"/>
            </w:tcBorders>
          </w:tcPr>
          <w:p w:rsidR="00004457" w:rsidRPr="00235ABA" w:rsidRDefault="00004457">
            <w:pPr>
              <w:rPr>
                <w:rStyle w:val="Firstpagetablebold"/>
              </w:rPr>
            </w:pPr>
            <w:r w:rsidRPr="00235ABA">
              <w:rPr>
                <w:rStyle w:val="Firstpagetablebold"/>
              </w:rPr>
              <w:t>Corporate Priority:</w:t>
            </w:r>
          </w:p>
        </w:tc>
        <w:tc>
          <w:tcPr>
            <w:tcW w:w="6407" w:type="dxa"/>
            <w:tcBorders>
              <w:top w:val="nil"/>
              <w:left w:val="nil"/>
              <w:bottom w:val="nil"/>
              <w:right w:val="single" w:sz="8" w:space="0" w:color="000000"/>
            </w:tcBorders>
          </w:tcPr>
          <w:p w:rsidR="00004457" w:rsidRPr="00235ABA" w:rsidRDefault="00004457" w:rsidP="005D6102">
            <w:r w:rsidRPr="00235ABA">
              <w:t>A Vibrant and Sustainable Economy.</w:t>
            </w:r>
          </w:p>
        </w:tc>
      </w:tr>
      <w:tr w:rsidR="00004457" w:rsidRPr="00235ABA" w:rsidTr="00004457">
        <w:tc>
          <w:tcPr>
            <w:tcW w:w="2438" w:type="dxa"/>
            <w:gridSpan w:val="2"/>
            <w:tcBorders>
              <w:top w:val="nil"/>
              <w:left w:val="single" w:sz="8" w:space="0" w:color="000000"/>
              <w:bottom w:val="nil"/>
              <w:right w:val="nil"/>
            </w:tcBorders>
          </w:tcPr>
          <w:p w:rsidR="00004457" w:rsidRPr="00235ABA" w:rsidRDefault="00004457">
            <w:pPr>
              <w:rPr>
                <w:rStyle w:val="Firstpagetablebold"/>
              </w:rPr>
            </w:pPr>
          </w:p>
        </w:tc>
        <w:tc>
          <w:tcPr>
            <w:tcW w:w="6407" w:type="dxa"/>
            <w:tcBorders>
              <w:top w:val="nil"/>
              <w:left w:val="nil"/>
              <w:bottom w:val="nil"/>
              <w:right w:val="single" w:sz="8" w:space="0" w:color="000000"/>
            </w:tcBorders>
          </w:tcPr>
          <w:p w:rsidR="00004457" w:rsidRPr="00235ABA" w:rsidRDefault="00004457" w:rsidP="005F7F7E"/>
        </w:tc>
      </w:tr>
      <w:tr w:rsidR="00004457" w:rsidRPr="00235ABA" w:rsidTr="00A46E98">
        <w:trPr>
          <w:trHeight w:val="413"/>
        </w:trPr>
        <w:tc>
          <w:tcPr>
            <w:tcW w:w="8845" w:type="dxa"/>
            <w:gridSpan w:val="3"/>
            <w:tcBorders>
              <w:bottom w:val="single" w:sz="8" w:space="0" w:color="000000"/>
            </w:tcBorders>
          </w:tcPr>
          <w:p w:rsidR="00004457" w:rsidRPr="00235ABA" w:rsidRDefault="005E1F84" w:rsidP="005E1F84">
            <w:r>
              <w:rPr>
                <w:rStyle w:val="Firstpagetablebold"/>
              </w:rPr>
              <w:t>Recommendation</w:t>
            </w:r>
            <w:r w:rsidR="00004457" w:rsidRPr="00235ABA">
              <w:rPr>
                <w:rStyle w:val="Firstpagetablebold"/>
              </w:rPr>
              <w:t>s:</w:t>
            </w:r>
            <w:r w:rsidR="006151C0">
              <w:rPr>
                <w:rStyle w:val="Firstpagetablebold"/>
              </w:rPr>
              <w:t xml:space="preserve"> </w:t>
            </w:r>
            <w:r w:rsidR="00004457" w:rsidRPr="005E1F84">
              <w:rPr>
                <w:rStyle w:val="Firstpagetablebold"/>
                <w:b w:val="0"/>
              </w:rPr>
              <w:t>That the City Executive Board resolves to:</w:t>
            </w:r>
          </w:p>
        </w:tc>
      </w:tr>
      <w:tr w:rsidR="00004457" w:rsidRPr="00235ABA" w:rsidTr="008E36B7">
        <w:trPr>
          <w:trHeight w:val="283"/>
        </w:trPr>
        <w:tc>
          <w:tcPr>
            <w:tcW w:w="426" w:type="dxa"/>
            <w:tcBorders>
              <w:top w:val="single" w:sz="8" w:space="0" w:color="000000"/>
              <w:left w:val="single" w:sz="8" w:space="0" w:color="000000"/>
              <w:bottom w:val="nil"/>
              <w:right w:val="nil"/>
            </w:tcBorders>
          </w:tcPr>
          <w:p w:rsidR="00004457" w:rsidRPr="00235ABA" w:rsidRDefault="00004457" w:rsidP="004A6D2F">
            <w:r w:rsidRPr="00235ABA">
              <w:t>1.</w:t>
            </w:r>
          </w:p>
        </w:tc>
        <w:tc>
          <w:tcPr>
            <w:tcW w:w="8419" w:type="dxa"/>
            <w:gridSpan w:val="2"/>
            <w:tcBorders>
              <w:top w:val="nil"/>
              <w:left w:val="nil"/>
              <w:bottom w:val="nil"/>
              <w:right w:val="single" w:sz="8" w:space="0" w:color="000000"/>
            </w:tcBorders>
            <w:shd w:val="clear" w:color="auto" w:fill="auto"/>
          </w:tcPr>
          <w:p w:rsidR="003A6940" w:rsidRPr="00235ABA" w:rsidRDefault="00E114A2" w:rsidP="005E1F84">
            <w:r w:rsidRPr="005E1F84">
              <w:rPr>
                <w:b/>
                <w:iCs/>
              </w:rPr>
              <w:t>Grant</w:t>
            </w:r>
            <w:r w:rsidRPr="00E114A2">
              <w:rPr>
                <w:iCs/>
              </w:rPr>
              <w:t xml:space="preserve"> project approval, subject to Council approval of the capital budget for the relocation and extension of the car park decking currently located at Oxpens car </w:t>
            </w:r>
            <w:r w:rsidR="005E1F84">
              <w:rPr>
                <w:iCs/>
              </w:rPr>
              <w:t xml:space="preserve">park at Redbridge Park and Ride; and </w:t>
            </w:r>
          </w:p>
        </w:tc>
      </w:tr>
      <w:tr w:rsidR="005327BC" w:rsidRPr="00235ABA" w:rsidTr="008E36B7">
        <w:trPr>
          <w:trHeight w:val="283"/>
        </w:trPr>
        <w:tc>
          <w:tcPr>
            <w:tcW w:w="426" w:type="dxa"/>
            <w:tcBorders>
              <w:top w:val="nil"/>
              <w:left w:val="single" w:sz="8" w:space="0" w:color="000000"/>
              <w:bottom w:val="nil"/>
              <w:right w:val="nil"/>
            </w:tcBorders>
          </w:tcPr>
          <w:p w:rsidR="005327BC" w:rsidRPr="00235ABA" w:rsidRDefault="005327BC" w:rsidP="004A6D2F">
            <w:r>
              <w:t>2.</w:t>
            </w:r>
          </w:p>
        </w:tc>
        <w:tc>
          <w:tcPr>
            <w:tcW w:w="8419" w:type="dxa"/>
            <w:gridSpan w:val="2"/>
            <w:tcBorders>
              <w:top w:val="nil"/>
              <w:left w:val="nil"/>
              <w:bottom w:val="nil"/>
              <w:right w:val="single" w:sz="8" w:space="0" w:color="000000"/>
            </w:tcBorders>
            <w:shd w:val="clear" w:color="auto" w:fill="auto"/>
          </w:tcPr>
          <w:p w:rsidR="005327BC" w:rsidDel="00E114A2" w:rsidRDefault="005327BC" w:rsidP="00CD0340">
            <w:r w:rsidRPr="005E1F84">
              <w:rPr>
                <w:b/>
              </w:rPr>
              <w:t>Delegate</w:t>
            </w:r>
            <w:r>
              <w:t xml:space="preserve"> to</w:t>
            </w:r>
            <w:r w:rsidR="005E1F84">
              <w:t xml:space="preserve"> </w:t>
            </w:r>
            <w:proofErr w:type="gramStart"/>
            <w:r w:rsidR="005E1F84">
              <w:t xml:space="preserve">the </w:t>
            </w:r>
            <w:r>
              <w:t xml:space="preserve"> </w:t>
            </w:r>
            <w:r w:rsidR="00CD0340">
              <w:t>Chief</w:t>
            </w:r>
            <w:proofErr w:type="gramEnd"/>
            <w:r w:rsidR="00CD0340">
              <w:t xml:space="preserve"> Executive in conjunction with the Section 151 </w:t>
            </w:r>
            <w:r w:rsidR="005E1F84">
              <w:t>Officer and Monitoring Officers</w:t>
            </w:r>
            <w:r>
              <w:t xml:space="preserve"> </w:t>
            </w:r>
            <w:r w:rsidRPr="00953F21">
              <w:t>the authority</w:t>
            </w:r>
            <w:r>
              <w:t xml:space="preserve"> </w:t>
            </w:r>
            <w:r w:rsidRPr="00953F21">
              <w:t>to enter into all appropriate contracts to implement the recommended option.</w:t>
            </w:r>
          </w:p>
        </w:tc>
      </w:tr>
      <w:tr w:rsidR="00C43783" w:rsidRPr="00235ABA" w:rsidTr="008E36B7">
        <w:trPr>
          <w:trHeight w:val="283"/>
        </w:trPr>
        <w:tc>
          <w:tcPr>
            <w:tcW w:w="8845" w:type="dxa"/>
            <w:gridSpan w:val="3"/>
            <w:tcBorders>
              <w:top w:val="nil"/>
              <w:left w:val="single" w:sz="8" w:space="0" w:color="000000"/>
              <w:bottom w:val="single" w:sz="8" w:space="0" w:color="000000"/>
              <w:right w:val="single" w:sz="8" w:space="0" w:color="000000"/>
            </w:tcBorders>
            <w:shd w:val="clear" w:color="auto" w:fill="auto"/>
          </w:tcPr>
          <w:p w:rsidR="00C43783" w:rsidRPr="00235ABA" w:rsidRDefault="00C43783" w:rsidP="00247C29"/>
        </w:tc>
      </w:tr>
    </w:tbl>
    <w:p w:rsidR="00CE544A" w:rsidRPr="00235ABA" w:rsidRDefault="00CE544A" w:rsidP="004A6D2F"/>
    <w:p w:rsidR="0040736F" w:rsidRPr="00235ABA" w:rsidRDefault="00F66DCA" w:rsidP="004A6D2F">
      <w:pPr>
        <w:pStyle w:val="Heading1"/>
      </w:pPr>
      <w:r w:rsidRPr="00235ABA">
        <w:t>Introduction and b</w:t>
      </w:r>
      <w:r w:rsidR="00151888" w:rsidRPr="00235ABA">
        <w:t>ackground</w:t>
      </w:r>
      <w:r w:rsidR="00404032" w:rsidRPr="00235ABA">
        <w:t xml:space="preserve"> </w:t>
      </w:r>
    </w:p>
    <w:p w:rsidR="005D6102" w:rsidRPr="00235ABA" w:rsidRDefault="005D6102" w:rsidP="005D6102"/>
    <w:p w:rsidR="005D6102" w:rsidRPr="00235ABA" w:rsidRDefault="005D6102" w:rsidP="005D6102">
      <w:pPr>
        <w:pStyle w:val="ListParagraph"/>
      </w:pPr>
      <w:r w:rsidRPr="00235ABA">
        <w:t xml:space="preserve">In January 2015 the Westgate </w:t>
      </w:r>
      <w:r w:rsidR="00747FFE" w:rsidRPr="00235ABA">
        <w:t xml:space="preserve">multi-storey </w:t>
      </w:r>
      <w:r w:rsidRPr="00235ABA">
        <w:t xml:space="preserve">car park ceased to operate as a public facility and was subsequently demolished as part of the Westgate Alliance redevelopment of the Westgate Centre. </w:t>
      </w:r>
    </w:p>
    <w:p w:rsidR="00E95B80" w:rsidRPr="00235ABA" w:rsidRDefault="00E95B80" w:rsidP="00E95B80">
      <w:pPr>
        <w:pStyle w:val="ListParagraph"/>
        <w:numPr>
          <w:ilvl w:val="0"/>
          <w:numId w:val="0"/>
        </w:numPr>
        <w:ind w:left="426"/>
      </w:pPr>
    </w:p>
    <w:p w:rsidR="00CF6F47" w:rsidRPr="00235ABA" w:rsidRDefault="002D6476" w:rsidP="005D6102">
      <w:pPr>
        <w:pStyle w:val="ListParagraph"/>
      </w:pPr>
      <w:r w:rsidRPr="00C43783">
        <w:lastRenderedPageBreak/>
        <w:t xml:space="preserve">The planning approval for </w:t>
      </w:r>
      <w:r w:rsidR="00953F21" w:rsidRPr="00C43783">
        <w:t xml:space="preserve">redevelopment </w:t>
      </w:r>
      <w:r w:rsidR="00953F21">
        <w:t>included</w:t>
      </w:r>
      <w:r w:rsidRPr="00C43783">
        <w:t xml:space="preserve"> temporary arrangements</w:t>
      </w:r>
      <w:r w:rsidRPr="00235ABA">
        <w:t xml:space="preserve"> regarding parking.  These arrangements included the installation of additional temporary car parking at the Oxpens car park.  </w:t>
      </w:r>
    </w:p>
    <w:p w:rsidR="00C04C78" w:rsidRPr="00235ABA" w:rsidRDefault="00C04C78" w:rsidP="00C04C78">
      <w:pPr>
        <w:pStyle w:val="ListParagraph"/>
        <w:numPr>
          <w:ilvl w:val="0"/>
          <w:numId w:val="0"/>
        </w:numPr>
        <w:ind w:left="360"/>
      </w:pPr>
    </w:p>
    <w:p w:rsidR="00AB2087" w:rsidRPr="00235ABA" w:rsidRDefault="00C04C78" w:rsidP="00C04C78">
      <w:pPr>
        <w:pStyle w:val="ListParagraph"/>
      </w:pPr>
      <w:r w:rsidRPr="00235ABA">
        <w:t xml:space="preserve">This requirement was met by the Council extending the car park to the rear of the ice rink and the installation of decking which together provided 420 car parking spaces. </w:t>
      </w:r>
    </w:p>
    <w:p w:rsidR="00AB2087" w:rsidRPr="00235ABA" w:rsidRDefault="00AB2087" w:rsidP="00AB2087">
      <w:pPr>
        <w:pStyle w:val="ListParagraph"/>
        <w:numPr>
          <w:ilvl w:val="0"/>
          <w:numId w:val="0"/>
        </w:numPr>
        <w:ind w:left="360"/>
      </w:pPr>
    </w:p>
    <w:p w:rsidR="00AB2087" w:rsidRPr="00235ABA" w:rsidRDefault="00AB2087" w:rsidP="00AB2087">
      <w:pPr>
        <w:pStyle w:val="ListParagraph"/>
      </w:pPr>
      <w:r w:rsidRPr="00235ABA">
        <w:t xml:space="preserve">The </w:t>
      </w:r>
      <w:r w:rsidR="00C43783" w:rsidRPr="00235ABA">
        <w:t>temporary planning</w:t>
      </w:r>
      <w:r w:rsidRPr="00235ABA">
        <w:t xml:space="preserve"> permission </w:t>
      </w:r>
      <w:r w:rsidR="00C43783">
        <w:t xml:space="preserve">for the extension and decking </w:t>
      </w:r>
      <w:r w:rsidRPr="00235ABA">
        <w:t xml:space="preserve">expired in January 2019, and steps have now been taken to restrict the use of the additional capacity.  </w:t>
      </w:r>
    </w:p>
    <w:p w:rsidR="00290048" w:rsidRPr="00235ABA" w:rsidRDefault="00290048" w:rsidP="00CF6F47">
      <w:pPr>
        <w:pStyle w:val="ListParagraph"/>
        <w:numPr>
          <w:ilvl w:val="0"/>
          <w:numId w:val="0"/>
        </w:numPr>
        <w:ind w:left="360"/>
      </w:pPr>
    </w:p>
    <w:p w:rsidR="005D6102" w:rsidRPr="00235ABA" w:rsidRDefault="00C43783" w:rsidP="005D6102">
      <w:pPr>
        <w:pStyle w:val="ListParagraph"/>
      </w:pPr>
      <w:r w:rsidRPr="00235ABA">
        <w:t xml:space="preserve">The land (including the Oxpens car park) was transferred to OXWED in December 2018.  </w:t>
      </w:r>
      <w:r w:rsidR="00096312" w:rsidRPr="00235ABA">
        <w:t>The council now occupies th</w:t>
      </w:r>
      <w:r w:rsidR="00747FFE" w:rsidRPr="00235ABA">
        <w:t>e</w:t>
      </w:r>
      <w:r w:rsidR="00096312" w:rsidRPr="00235ABA">
        <w:t xml:space="preserve"> land </w:t>
      </w:r>
      <w:r w:rsidR="00747FFE" w:rsidRPr="00235ABA">
        <w:t xml:space="preserve">and </w:t>
      </w:r>
      <w:r w:rsidR="00096312" w:rsidRPr="00235ABA">
        <w:t>operates the car park on licence from OXWED</w:t>
      </w:r>
      <w:r>
        <w:t xml:space="preserve">.  </w:t>
      </w:r>
      <w:r w:rsidR="00096312" w:rsidRPr="00235ABA">
        <w:t>That licence requires that the Council removes the decking and reinstates the original car park footpr</w:t>
      </w:r>
      <w:r w:rsidR="00290048" w:rsidRPr="00235ABA">
        <w:t>int</w:t>
      </w:r>
      <w:r w:rsidR="00096312" w:rsidRPr="00235ABA">
        <w:t xml:space="preserve"> by June 2019.</w:t>
      </w:r>
    </w:p>
    <w:p w:rsidR="00AB2087" w:rsidRPr="00235ABA" w:rsidRDefault="00AB2087" w:rsidP="00AB2087">
      <w:pPr>
        <w:pStyle w:val="ListParagraph"/>
        <w:numPr>
          <w:ilvl w:val="0"/>
          <w:numId w:val="0"/>
        </w:numPr>
        <w:ind w:left="360"/>
      </w:pPr>
    </w:p>
    <w:p w:rsidR="00AB2087" w:rsidRPr="00235ABA" w:rsidRDefault="00AB2087" w:rsidP="00AB2087">
      <w:pPr>
        <w:pStyle w:val="ListParagraph"/>
      </w:pPr>
      <w:r w:rsidRPr="00235ABA">
        <w:t xml:space="preserve">This report sets out the project to remove the decking from Oxpens and relocate and extend the decking at Redbridge Park &amp; Ride, primarily to provide additional capacity during the construction of the Oxford Flood Relief Scheme which will impact on the capacity of that site.  It is anticipated that Oxford Flood Alleviation Scheme (OFAS) will utilise a significant section of Redbridge Park &amp; Ride car park as a base to construct and install the conduits under the Ring Road adjacent to the site. It estimated that this will result in a temporary loss of circa 450 parking spaces for a period of around </w:t>
      </w:r>
      <w:r w:rsidR="003A6940" w:rsidRPr="00953F21">
        <w:t>30 months</w:t>
      </w:r>
      <w:r w:rsidRPr="00953F21">
        <w:t xml:space="preserve">.  </w:t>
      </w:r>
      <w:r w:rsidR="003A6940" w:rsidRPr="00953F21">
        <w:t xml:space="preserve">However, it should be noted that the contractor has a four year option stipulated in the Heads of Terms. </w:t>
      </w:r>
      <w:r w:rsidRPr="00953F21">
        <w:t>There will be the</w:t>
      </w:r>
      <w:r w:rsidRPr="00235ABA">
        <w:t xml:space="preserve"> permanent loss of circa 50 spaces.</w:t>
      </w:r>
    </w:p>
    <w:p w:rsidR="00AB2087" w:rsidRPr="00235ABA" w:rsidRDefault="00AB2087" w:rsidP="00AB2087">
      <w:pPr>
        <w:pStyle w:val="ListParagraph"/>
        <w:numPr>
          <w:ilvl w:val="0"/>
          <w:numId w:val="0"/>
        </w:numPr>
        <w:ind w:left="360"/>
      </w:pPr>
    </w:p>
    <w:p w:rsidR="00AB2087" w:rsidRPr="00235ABA" w:rsidRDefault="00AB2087" w:rsidP="00AB2087">
      <w:pPr>
        <w:pStyle w:val="ListParagraph"/>
      </w:pPr>
      <w:r w:rsidRPr="00235ABA">
        <w:t xml:space="preserve">The decked structure installed is a prefabricated unit that </w:t>
      </w:r>
      <w:r w:rsidR="005E1F84">
        <w:t xml:space="preserve">it </w:t>
      </w:r>
      <w:r w:rsidRPr="00235ABA">
        <w:t xml:space="preserve">is </w:t>
      </w:r>
      <w:r w:rsidR="00C43783">
        <w:t>possible</w:t>
      </w:r>
      <w:r w:rsidR="005E1F84">
        <w:t xml:space="preserve"> to disassemble</w:t>
      </w:r>
      <w:r w:rsidRPr="00235ABA">
        <w:t xml:space="preserve"> and reasse</w:t>
      </w:r>
      <w:r w:rsidR="005E1F84">
        <w:t>mble at another location although</w:t>
      </w:r>
      <w:r w:rsidRPr="00235ABA">
        <w:t xml:space="preserve"> it is an expensive operation</w:t>
      </w:r>
      <w:proofErr w:type="gramStart"/>
      <w:r w:rsidR="005E1F84">
        <w:t xml:space="preserve">, </w:t>
      </w:r>
      <w:r w:rsidRPr="00235ABA">
        <w:t xml:space="preserve"> particularly</w:t>
      </w:r>
      <w:proofErr w:type="gramEnd"/>
      <w:r w:rsidRPr="00235ABA">
        <w:t xml:space="preserve"> for anything other than a relatively short transport distance.  This is primarily </w:t>
      </w:r>
      <w:r w:rsidR="005E1F84">
        <w:t xml:space="preserve">because, </w:t>
      </w:r>
      <w:r w:rsidRPr="00235ABA">
        <w:t>once installed with asphalted upper flooring</w:t>
      </w:r>
      <w:r w:rsidR="005E1F84">
        <w:t xml:space="preserve">, the cost of breaking </w:t>
      </w:r>
      <w:proofErr w:type="gramStart"/>
      <w:r w:rsidR="005E1F84">
        <w:t xml:space="preserve">it </w:t>
      </w:r>
      <w:r w:rsidRPr="00235ABA">
        <w:t xml:space="preserve"> up</w:t>
      </w:r>
      <w:proofErr w:type="gramEnd"/>
      <w:r w:rsidRPr="00235ABA">
        <w:t xml:space="preserve"> and re-installing elsewhere is not economic and transporting intact is complex and expensive.</w:t>
      </w:r>
    </w:p>
    <w:p w:rsidR="00AB2087" w:rsidRPr="00235ABA" w:rsidRDefault="00AB2087" w:rsidP="00AB2087">
      <w:pPr>
        <w:pStyle w:val="ListParagraph"/>
        <w:numPr>
          <w:ilvl w:val="0"/>
          <w:numId w:val="0"/>
        </w:numPr>
        <w:ind w:left="360"/>
      </w:pPr>
    </w:p>
    <w:p w:rsidR="005E1F84" w:rsidRDefault="00AB2087" w:rsidP="005E1F84">
      <w:pPr>
        <w:pStyle w:val="ListParagraph"/>
      </w:pPr>
      <w:r w:rsidRPr="00235ABA">
        <w:t xml:space="preserve">A number of options have been considered and assessed by the Council’s Development Board.  That Board supports the recommendation as set out in this report.  </w:t>
      </w:r>
    </w:p>
    <w:p w:rsidR="005E1F84" w:rsidRPr="00235ABA" w:rsidRDefault="005E1F84" w:rsidP="005E1F84"/>
    <w:p w:rsidR="000922D6" w:rsidRPr="00235ABA" w:rsidRDefault="000922D6" w:rsidP="00711E00">
      <w:pPr>
        <w:pStyle w:val="ListParagraph"/>
      </w:pPr>
      <w:r w:rsidRPr="00235ABA">
        <w:t xml:space="preserve">The Business </w:t>
      </w:r>
      <w:r w:rsidR="00C43783">
        <w:t>Case c</w:t>
      </w:r>
      <w:r w:rsidR="005E1F84">
        <w:t>onsiders 5 options:</w:t>
      </w:r>
      <w:r w:rsidRPr="00235ABA">
        <w:t xml:space="preserve">  </w:t>
      </w:r>
    </w:p>
    <w:p w:rsidR="000922D6" w:rsidRPr="00235ABA" w:rsidRDefault="000922D6" w:rsidP="0053718F">
      <w:pPr>
        <w:pStyle w:val="Default"/>
        <w:ind w:left="709" w:hanging="349"/>
        <w:rPr>
          <w:sz w:val="23"/>
          <w:szCs w:val="23"/>
        </w:rPr>
      </w:pPr>
    </w:p>
    <w:p w:rsidR="000922D6" w:rsidRPr="00235ABA" w:rsidRDefault="000922D6" w:rsidP="000922D6">
      <w:pPr>
        <w:pStyle w:val="Default"/>
        <w:rPr>
          <w:sz w:val="23"/>
          <w:szCs w:val="23"/>
        </w:rPr>
      </w:pPr>
    </w:p>
    <w:p w:rsidR="0053718F" w:rsidRPr="00235ABA" w:rsidRDefault="0053718F" w:rsidP="0053718F">
      <w:pPr>
        <w:pStyle w:val="Default"/>
        <w:numPr>
          <w:ilvl w:val="0"/>
          <w:numId w:val="40"/>
        </w:numPr>
        <w:rPr>
          <w:sz w:val="23"/>
          <w:szCs w:val="23"/>
        </w:rPr>
      </w:pPr>
      <w:r w:rsidRPr="00235ABA">
        <w:rPr>
          <w:sz w:val="23"/>
          <w:szCs w:val="23"/>
        </w:rPr>
        <w:t xml:space="preserve">Relocate the current decking footprint to Redbridge - achieves an additional 100 spaces with a net loss of 331 during the OFAS build.  At this point it is proposed the </w:t>
      </w:r>
      <w:r w:rsidRPr="00235ABA">
        <w:rPr>
          <w:sz w:val="23"/>
          <w:szCs w:val="23"/>
        </w:rPr>
        <w:lastRenderedPageBreak/>
        <w:t>deckin</w:t>
      </w:r>
      <w:r>
        <w:rPr>
          <w:sz w:val="23"/>
          <w:szCs w:val="23"/>
        </w:rPr>
        <w:t xml:space="preserve">g would be retained along with </w:t>
      </w:r>
      <w:r w:rsidRPr="00235ABA">
        <w:rPr>
          <w:sz w:val="23"/>
          <w:szCs w:val="23"/>
        </w:rPr>
        <w:t xml:space="preserve">380 </w:t>
      </w:r>
      <w:r>
        <w:rPr>
          <w:sz w:val="23"/>
          <w:szCs w:val="23"/>
        </w:rPr>
        <w:t xml:space="preserve">of the original </w:t>
      </w:r>
      <w:r w:rsidRPr="00235ABA">
        <w:rPr>
          <w:sz w:val="23"/>
          <w:szCs w:val="23"/>
        </w:rPr>
        <w:t xml:space="preserve">spaces returned to car parking. </w:t>
      </w:r>
    </w:p>
    <w:p w:rsidR="0053718F" w:rsidRPr="00235ABA" w:rsidRDefault="0053718F" w:rsidP="0053718F">
      <w:pPr>
        <w:pStyle w:val="Default"/>
        <w:ind w:left="360"/>
        <w:rPr>
          <w:sz w:val="23"/>
          <w:szCs w:val="23"/>
        </w:rPr>
      </w:pPr>
    </w:p>
    <w:p w:rsidR="0053718F" w:rsidRPr="00235ABA" w:rsidRDefault="0053718F" w:rsidP="0053718F">
      <w:pPr>
        <w:pStyle w:val="Default"/>
        <w:numPr>
          <w:ilvl w:val="0"/>
          <w:numId w:val="40"/>
        </w:numPr>
        <w:rPr>
          <w:sz w:val="23"/>
          <w:szCs w:val="23"/>
        </w:rPr>
      </w:pPr>
      <w:r w:rsidRPr="00235ABA">
        <w:rPr>
          <w:sz w:val="23"/>
          <w:szCs w:val="23"/>
        </w:rPr>
        <w:t>Relocate the current decking to Redbridge and increase the footprint with additional decking to create a total additional 200 spaces with a net loss of 231 during the OFAS bui</w:t>
      </w:r>
      <w:r w:rsidR="00E0644D">
        <w:rPr>
          <w:sz w:val="23"/>
          <w:szCs w:val="23"/>
        </w:rPr>
        <w:t>ld. At this point as in option a)</w:t>
      </w:r>
      <w:r w:rsidRPr="00235ABA">
        <w:rPr>
          <w:sz w:val="23"/>
          <w:szCs w:val="23"/>
        </w:rPr>
        <w:t xml:space="preserve"> the decking would be retained </w:t>
      </w:r>
      <w:r>
        <w:rPr>
          <w:sz w:val="23"/>
          <w:szCs w:val="23"/>
        </w:rPr>
        <w:t xml:space="preserve">along </w:t>
      </w:r>
      <w:r w:rsidRPr="00235ABA">
        <w:rPr>
          <w:sz w:val="23"/>
          <w:szCs w:val="23"/>
        </w:rPr>
        <w:t xml:space="preserve">with the original 380 spaces returned to car parking. </w:t>
      </w:r>
    </w:p>
    <w:p w:rsidR="0053718F" w:rsidRPr="00235ABA" w:rsidRDefault="0053718F" w:rsidP="0053718F">
      <w:pPr>
        <w:pStyle w:val="Default"/>
        <w:ind w:left="360"/>
        <w:rPr>
          <w:sz w:val="23"/>
          <w:szCs w:val="23"/>
        </w:rPr>
      </w:pPr>
    </w:p>
    <w:p w:rsidR="0053718F" w:rsidRPr="00235ABA" w:rsidRDefault="0053718F" w:rsidP="0053718F">
      <w:pPr>
        <w:pStyle w:val="Default"/>
        <w:numPr>
          <w:ilvl w:val="0"/>
          <w:numId w:val="40"/>
        </w:numPr>
        <w:rPr>
          <w:color w:val="auto"/>
        </w:rPr>
      </w:pPr>
      <w:r w:rsidRPr="00235ABA">
        <w:rPr>
          <w:sz w:val="23"/>
          <w:szCs w:val="23"/>
        </w:rPr>
        <w:t xml:space="preserve">Relocate the current decking and increase the footprint to create a total additional 300 spaces with a net loss of 131 spaces during the OFAS.   </w:t>
      </w:r>
    </w:p>
    <w:p w:rsidR="0053718F" w:rsidRPr="00235ABA" w:rsidRDefault="0053718F" w:rsidP="008E36B7">
      <w:pPr>
        <w:pStyle w:val="Default"/>
        <w:ind w:left="720"/>
        <w:rPr>
          <w:sz w:val="23"/>
          <w:szCs w:val="23"/>
        </w:rPr>
      </w:pPr>
      <w:r w:rsidRPr="00235ABA">
        <w:rPr>
          <w:sz w:val="23"/>
          <w:szCs w:val="23"/>
        </w:rPr>
        <w:t xml:space="preserve">At this point as in option </w:t>
      </w:r>
      <w:r w:rsidR="0055357B">
        <w:rPr>
          <w:sz w:val="23"/>
          <w:szCs w:val="23"/>
        </w:rPr>
        <w:t>a)</w:t>
      </w:r>
      <w:r w:rsidRPr="00235ABA">
        <w:rPr>
          <w:sz w:val="23"/>
          <w:szCs w:val="23"/>
        </w:rPr>
        <w:t xml:space="preserve"> the decking would </w:t>
      </w:r>
      <w:r>
        <w:rPr>
          <w:sz w:val="23"/>
          <w:szCs w:val="23"/>
        </w:rPr>
        <w:t xml:space="preserve">be </w:t>
      </w:r>
      <w:r w:rsidRPr="00235ABA">
        <w:rPr>
          <w:sz w:val="23"/>
          <w:szCs w:val="23"/>
        </w:rPr>
        <w:t xml:space="preserve">retained with the original 380 spaces returned to car parking. </w:t>
      </w:r>
    </w:p>
    <w:p w:rsidR="0053718F" w:rsidRPr="00235ABA" w:rsidRDefault="0053718F" w:rsidP="0053718F">
      <w:pPr>
        <w:pStyle w:val="Default"/>
        <w:ind w:left="360"/>
        <w:rPr>
          <w:sz w:val="23"/>
          <w:szCs w:val="23"/>
        </w:rPr>
      </w:pPr>
    </w:p>
    <w:p w:rsidR="0053718F" w:rsidRDefault="00E0644D" w:rsidP="0053718F">
      <w:pPr>
        <w:pStyle w:val="Default"/>
        <w:numPr>
          <w:ilvl w:val="0"/>
          <w:numId w:val="40"/>
        </w:numPr>
        <w:rPr>
          <w:sz w:val="23"/>
          <w:szCs w:val="23"/>
        </w:rPr>
      </w:pPr>
      <w:r>
        <w:rPr>
          <w:sz w:val="23"/>
          <w:szCs w:val="23"/>
        </w:rPr>
        <w:t>Remove and store the d</w:t>
      </w:r>
      <w:r w:rsidR="0053718F" w:rsidRPr="00235ABA">
        <w:rPr>
          <w:sz w:val="23"/>
          <w:szCs w:val="23"/>
        </w:rPr>
        <w:t xml:space="preserve">ecking with no relocation to Redbridge. Results in a net loss of 431 spaces during the OFAS build. </w:t>
      </w:r>
    </w:p>
    <w:p w:rsidR="0053718F" w:rsidRPr="00235ABA" w:rsidRDefault="0053718F" w:rsidP="0053718F">
      <w:pPr>
        <w:pStyle w:val="Default"/>
        <w:rPr>
          <w:sz w:val="23"/>
          <w:szCs w:val="23"/>
        </w:rPr>
      </w:pPr>
    </w:p>
    <w:p w:rsidR="0053718F" w:rsidRPr="00235ABA" w:rsidRDefault="00E0644D" w:rsidP="0053718F">
      <w:pPr>
        <w:pStyle w:val="Default"/>
        <w:numPr>
          <w:ilvl w:val="0"/>
          <w:numId w:val="40"/>
        </w:numPr>
        <w:rPr>
          <w:sz w:val="23"/>
          <w:szCs w:val="23"/>
        </w:rPr>
      </w:pPr>
      <w:r>
        <w:rPr>
          <w:sz w:val="23"/>
          <w:szCs w:val="23"/>
        </w:rPr>
        <w:t>Remove, store and sell the d</w:t>
      </w:r>
      <w:r w:rsidR="0053718F" w:rsidRPr="00235ABA">
        <w:rPr>
          <w:sz w:val="23"/>
          <w:szCs w:val="23"/>
        </w:rPr>
        <w:t xml:space="preserve">ecking with no relocation to Redbridge with a net loss of 431 spaces. </w:t>
      </w:r>
    </w:p>
    <w:p w:rsidR="0053718F" w:rsidRDefault="0053718F" w:rsidP="00AB2087">
      <w:pPr>
        <w:pStyle w:val="Default"/>
        <w:rPr>
          <w:sz w:val="23"/>
          <w:szCs w:val="23"/>
        </w:rPr>
      </w:pPr>
    </w:p>
    <w:p w:rsidR="005327BC" w:rsidRPr="00235ABA" w:rsidRDefault="000922D6" w:rsidP="008E36B7">
      <w:pPr>
        <w:pStyle w:val="Default"/>
        <w:ind w:left="360"/>
      </w:pPr>
      <w:r w:rsidRPr="00235ABA">
        <w:rPr>
          <w:sz w:val="23"/>
          <w:szCs w:val="23"/>
        </w:rPr>
        <w:t xml:space="preserve">The options to relocate decking at Redbridge assume it can be installed under Local Authority Permitted Development rights.  We are currently </w:t>
      </w:r>
      <w:r w:rsidR="0055357B">
        <w:rPr>
          <w:sz w:val="23"/>
          <w:szCs w:val="23"/>
        </w:rPr>
        <w:t>seeking advice</w:t>
      </w:r>
      <w:r w:rsidR="00AB2087" w:rsidRPr="00235ABA">
        <w:rPr>
          <w:sz w:val="23"/>
          <w:szCs w:val="23"/>
        </w:rPr>
        <w:t xml:space="preserve"> to establish </w:t>
      </w:r>
      <w:r w:rsidR="0055357B">
        <w:rPr>
          <w:sz w:val="23"/>
          <w:szCs w:val="23"/>
        </w:rPr>
        <w:t>whether</w:t>
      </w:r>
      <w:r w:rsidR="00AB2087" w:rsidRPr="00235ABA">
        <w:rPr>
          <w:sz w:val="23"/>
          <w:szCs w:val="23"/>
        </w:rPr>
        <w:t xml:space="preserve"> this is </w:t>
      </w:r>
      <w:r w:rsidRPr="00235ABA">
        <w:rPr>
          <w:sz w:val="23"/>
          <w:szCs w:val="23"/>
        </w:rPr>
        <w:t xml:space="preserve">the case.   </w:t>
      </w:r>
    </w:p>
    <w:p w:rsidR="00AC1F86" w:rsidRPr="00235ABA" w:rsidRDefault="00AC1F86" w:rsidP="00AC1F86">
      <w:pPr>
        <w:pStyle w:val="ListParagraph"/>
        <w:numPr>
          <w:ilvl w:val="0"/>
          <w:numId w:val="0"/>
        </w:numPr>
        <w:ind w:left="426"/>
      </w:pPr>
    </w:p>
    <w:p w:rsidR="00AB2087" w:rsidRPr="00235ABA" w:rsidRDefault="000922D6" w:rsidP="00AB2087">
      <w:pPr>
        <w:ind w:left="360" w:hanging="360"/>
        <w:rPr>
          <w:b/>
        </w:rPr>
      </w:pPr>
      <w:r w:rsidRPr="00235ABA">
        <w:rPr>
          <w:b/>
        </w:rPr>
        <w:t>Commentary on options</w:t>
      </w:r>
    </w:p>
    <w:p w:rsidR="00290048" w:rsidRPr="00235ABA" w:rsidRDefault="000922D6">
      <w:pPr>
        <w:pStyle w:val="ListParagraph"/>
        <w:numPr>
          <w:ilvl w:val="0"/>
          <w:numId w:val="0"/>
        </w:numPr>
        <w:ind w:left="426"/>
      </w:pPr>
      <w:r w:rsidRPr="00235ABA">
        <w:t xml:space="preserve">The Business case reviews each option.  </w:t>
      </w:r>
      <w:r w:rsidR="00E0644D">
        <w:t>In general it can be said that:</w:t>
      </w:r>
    </w:p>
    <w:p w:rsidR="00AB2087" w:rsidRPr="00235ABA" w:rsidRDefault="00AB2087">
      <w:pPr>
        <w:pStyle w:val="ListParagraph"/>
        <w:numPr>
          <w:ilvl w:val="0"/>
          <w:numId w:val="0"/>
        </w:numPr>
        <w:ind w:left="426"/>
      </w:pPr>
    </w:p>
    <w:p w:rsidR="00C43783" w:rsidRDefault="00C43783" w:rsidP="00DB0F00">
      <w:pPr>
        <w:pStyle w:val="ListParagraph"/>
      </w:pPr>
      <w:r>
        <w:t>The Council has to remove the decking from Oxpens and all options come at a cost.</w:t>
      </w:r>
    </w:p>
    <w:p w:rsidR="005327BC" w:rsidRDefault="005327BC" w:rsidP="008E36B7">
      <w:pPr>
        <w:pStyle w:val="ListParagraph"/>
        <w:numPr>
          <w:ilvl w:val="0"/>
          <w:numId w:val="0"/>
        </w:numPr>
        <w:ind w:left="360"/>
      </w:pPr>
    </w:p>
    <w:p w:rsidR="00AC1F86" w:rsidRPr="00235ABA" w:rsidRDefault="00AC1F86" w:rsidP="00DB0F00">
      <w:pPr>
        <w:pStyle w:val="ListParagraph"/>
      </w:pPr>
      <w:r w:rsidRPr="00235ABA">
        <w:t>If no provision is made to replace the lost parking bays</w:t>
      </w:r>
      <w:r w:rsidR="000922D6" w:rsidRPr="00235ABA">
        <w:t xml:space="preserve"> at </w:t>
      </w:r>
      <w:r w:rsidR="00747FFE" w:rsidRPr="00235ABA">
        <w:t>R</w:t>
      </w:r>
      <w:r w:rsidR="000922D6" w:rsidRPr="00235ABA">
        <w:t>edbridge</w:t>
      </w:r>
      <w:r w:rsidRPr="00235ABA">
        <w:t>, it is highly likely that the Park &amp; Ride will fail to meet</w:t>
      </w:r>
      <w:r w:rsidR="00246414" w:rsidRPr="00235ABA">
        <w:t xml:space="preserve"> the required</w:t>
      </w:r>
      <w:r w:rsidRPr="00235ABA">
        <w:t xml:space="preserve"> demand</w:t>
      </w:r>
      <w:r w:rsidR="00747FFE" w:rsidRPr="00235ABA">
        <w:t xml:space="preserve"> and income would be impacted</w:t>
      </w:r>
      <w:r w:rsidRPr="00235ABA">
        <w:t>. This would result in congestion, a possible deterioration in air quality and a high level of</w:t>
      </w:r>
      <w:r w:rsidR="002A17BF" w:rsidRPr="00235ABA">
        <w:t xml:space="preserve"> customer</w:t>
      </w:r>
      <w:r w:rsidRPr="00235ABA">
        <w:t xml:space="preserve"> dissatisfaction. </w:t>
      </w:r>
    </w:p>
    <w:p w:rsidR="00AC1F86" w:rsidRPr="00235ABA" w:rsidRDefault="00AC1F86" w:rsidP="00AC1F86">
      <w:pPr>
        <w:pStyle w:val="ListParagraph"/>
        <w:numPr>
          <w:ilvl w:val="0"/>
          <w:numId w:val="0"/>
        </w:numPr>
        <w:ind w:left="426"/>
      </w:pPr>
    </w:p>
    <w:p w:rsidR="00AC1F86" w:rsidRPr="00235ABA" w:rsidRDefault="00AC1F86" w:rsidP="00DB0F00">
      <w:pPr>
        <w:pStyle w:val="ListParagraph"/>
      </w:pPr>
      <w:r w:rsidRPr="00235ABA">
        <w:t xml:space="preserve">In addition, the inability to provide adequate parking provision may encourage customers to seek an alternative </w:t>
      </w:r>
      <w:r w:rsidR="00733C94" w:rsidRPr="00235ABA">
        <w:t>area</w:t>
      </w:r>
      <w:r w:rsidRPr="00235ABA">
        <w:t xml:space="preserve"> to work or visit, which </w:t>
      </w:r>
      <w:r w:rsidR="002A17BF" w:rsidRPr="00235ABA">
        <w:t xml:space="preserve">may </w:t>
      </w:r>
      <w:r w:rsidRPr="00235ABA">
        <w:t xml:space="preserve">impact the local economy.  </w:t>
      </w:r>
    </w:p>
    <w:p w:rsidR="00AB2087" w:rsidRPr="00235ABA" w:rsidRDefault="00AB2087" w:rsidP="00AB2087">
      <w:pPr>
        <w:pStyle w:val="ListParagraph"/>
        <w:numPr>
          <w:ilvl w:val="0"/>
          <w:numId w:val="0"/>
        </w:numPr>
        <w:ind w:left="360"/>
      </w:pPr>
    </w:p>
    <w:p w:rsidR="00AB2087" w:rsidRPr="00235ABA" w:rsidRDefault="00AB2087" w:rsidP="00AB2087">
      <w:pPr>
        <w:pStyle w:val="ListParagraph"/>
      </w:pPr>
      <w:r w:rsidRPr="00235ABA">
        <w:t>If the deck was relocated to Redbridge Park &amp; Ride, this would mitigate some of the impact of the flood alleviation sch</w:t>
      </w:r>
      <w:r w:rsidR="00C43783">
        <w:t>eme on Park and Ride provision.</w:t>
      </w:r>
      <w:r w:rsidRPr="00235ABA">
        <w:t xml:space="preserve"> However, if current levels of use are maintained, the car park will not be able to meet the demand.</w:t>
      </w:r>
    </w:p>
    <w:p w:rsidR="00AB2087" w:rsidRPr="00235ABA" w:rsidRDefault="00AB2087" w:rsidP="00AB2087">
      <w:pPr>
        <w:pStyle w:val="ListParagraph"/>
        <w:numPr>
          <w:ilvl w:val="0"/>
          <w:numId w:val="0"/>
        </w:numPr>
        <w:ind w:left="360"/>
      </w:pPr>
    </w:p>
    <w:p w:rsidR="00AB2087" w:rsidRPr="00235ABA" w:rsidRDefault="00AB2087" w:rsidP="00AB2087">
      <w:pPr>
        <w:pStyle w:val="ListParagraph"/>
      </w:pPr>
      <w:r w:rsidRPr="00235ABA">
        <w:t>It has proven difficult to establish a value for the decking as we have not been able to establish whether there is a market for such equipment, particularly bearing in mind the handling and transport costs.  We have certainly not been able to find a potential buyer.  It may be that the decking actually has a negative value</w:t>
      </w:r>
      <w:r w:rsidR="00C43783">
        <w:t xml:space="preserve"> even </w:t>
      </w:r>
      <w:r w:rsidR="00C43783">
        <w:lastRenderedPageBreak/>
        <w:t>taking into account low value sale</w:t>
      </w:r>
      <w:r w:rsidR="00CC7038">
        <w:t xml:space="preserve"> of scrap value due to disassembly</w:t>
      </w:r>
      <w:r w:rsidR="00C43783">
        <w:t xml:space="preserve"> and transport costs.</w:t>
      </w:r>
      <w:r w:rsidR="008D72B5">
        <w:t xml:space="preserve"> The estimated minimum </w:t>
      </w:r>
      <w:r w:rsidR="00CC7038">
        <w:t>cost to dismantle the decking (costs of labour) is</w:t>
      </w:r>
      <w:r w:rsidR="008D72B5">
        <w:t xml:space="preserve"> £243k</w:t>
      </w:r>
      <w:r w:rsidR="00CC7038">
        <w:t>. O</w:t>
      </w:r>
      <w:r w:rsidR="008D72B5">
        <w:t>n-top of this there is a significant risk of additional transport and scrap fees.</w:t>
      </w:r>
    </w:p>
    <w:p w:rsidR="00290048" w:rsidRPr="00235ABA" w:rsidRDefault="00290048" w:rsidP="003A4198">
      <w:pPr>
        <w:pStyle w:val="ListParagraph"/>
        <w:numPr>
          <w:ilvl w:val="0"/>
          <w:numId w:val="0"/>
        </w:numPr>
        <w:ind w:left="360"/>
      </w:pPr>
    </w:p>
    <w:p w:rsidR="00905FB9" w:rsidRPr="00235ABA" w:rsidRDefault="00E0644D" w:rsidP="00DB0F00">
      <w:pPr>
        <w:pStyle w:val="ListParagraph"/>
      </w:pPr>
      <w:r>
        <w:t>Option b)</w:t>
      </w:r>
      <w:r w:rsidR="00747FFE" w:rsidRPr="00235ABA">
        <w:t xml:space="preserve"> providing an additional 200 spaces is the option recommended by officers.</w:t>
      </w:r>
    </w:p>
    <w:p w:rsidR="003C3017" w:rsidRPr="00235ABA" w:rsidRDefault="003C3017" w:rsidP="003C3017">
      <w:pPr>
        <w:pStyle w:val="ListParagraph"/>
        <w:numPr>
          <w:ilvl w:val="0"/>
          <w:numId w:val="0"/>
        </w:numPr>
        <w:ind w:left="426"/>
      </w:pPr>
    </w:p>
    <w:p w:rsidR="003C3017" w:rsidRPr="00235ABA" w:rsidRDefault="003C3017" w:rsidP="003C3017">
      <w:pPr>
        <w:pStyle w:val="ListParagraph"/>
        <w:numPr>
          <w:ilvl w:val="0"/>
          <w:numId w:val="0"/>
        </w:numPr>
        <w:rPr>
          <w:b/>
        </w:rPr>
      </w:pPr>
      <w:r w:rsidRPr="00235ABA">
        <w:rPr>
          <w:b/>
        </w:rPr>
        <w:t>Financial Implications</w:t>
      </w:r>
    </w:p>
    <w:p w:rsidR="003C3017" w:rsidRPr="00235ABA" w:rsidRDefault="003C3017" w:rsidP="003C3017">
      <w:pPr>
        <w:pStyle w:val="ListParagraph"/>
        <w:numPr>
          <w:ilvl w:val="0"/>
          <w:numId w:val="0"/>
        </w:numPr>
        <w:rPr>
          <w:b/>
        </w:rPr>
      </w:pPr>
    </w:p>
    <w:p w:rsidR="003C3017" w:rsidRDefault="003C3017" w:rsidP="003C3017">
      <w:pPr>
        <w:pStyle w:val="ListParagraph"/>
      </w:pPr>
      <w:r w:rsidRPr="00235ABA">
        <w:t xml:space="preserve">The Council has £243k allocated in the </w:t>
      </w:r>
      <w:r w:rsidR="00C46515">
        <w:t>2019-20</w:t>
      </w:r>
      <w:r w:rsidRPr="00235ABA">
        <w:t xml:space="preserve"> capital </w:t>
      </w:r>
      <w:proofErr w:type="gramStart"/>
      <w:r w:rsidRPr="00235ABA">
        <w:t>budget</w:t>
      </w:r>
      <w:proofErr w:type="gramEnd"/>
      <w:r w:rsidRPr="00235ABA">
        <w:t xml:space="preserve"> to remove and reinstate Oxpens car park to pre Westgate footprint. </w:t>
      </w:r>
      <w:r w:rsidR="00C46515">
        <w:t xml:space="preserve">It may be necessary to bring forward this budget into 2018-19 in order to commence preliminary works, which the Head of Financial Services has the authority to authorise. </w:t>
      </w:r>
      <w:r w:rsidRPr="00235ABA">
        <w:t>In addition, within the Council’s Consultation Budget</w:t>
      </w:r>
      <w:r w:rsidR="00733C94" w:rsidRPr="00235ABA">
        <w:t>,</w:t>
      </w:r>
      <w:r w:rsidRPr="00235ABA">
        <w:t xml:space="preserve"> there is an indicative amount of £1.685 million in 2019-20 to relocate the decking to Redbridge Park &amp; Ride.</w:t>
      </w:r>
    </w:p>
    <w:p w:rsidR="0010408C" w:rsidRDefault="0010408C" w:rsidP="0010408C">
      <w:pPr>
        <w:pStyle w:val="ListParagraph"/>
        <w:numPr>
          <w:ilvl w:val="0"/>
          <w:numId w:val="0"/>
        </w:numPr>
        <w:ind w:left="360"/>
      </w:pPr>
    </w:p>
    <w:p w:rsidR="0010408C" w:rsidRPr="00953F21" w:rsidRDefault="0010408C" w:rsidP="003C3017">
      <w:pPr>
        <w:pStyle w:val="ListParagraph"/>
      </w:pPr>
      <w:r w:rsidRPr="00953F21">
        <w:t>The Council’s consultation budget has allocated £1.9</w:t>
      </w:r>
      <w:r w:rsidR="005327BC">
        <w:t xml:space="preserve"> </w:t>
      </w:r>
      <w:r w:rsidRPr="00953F21">
        <w:t>m</w:t>
      </w:r>
      <w:r w:rsidR="005327BC">
        <w:t>illion</w:t>
      </w:r>
      <w:r w:rsidRPr="00953F21">
        <w:t xml:space="preserve"> </w:t>
      </w:r>
      <w:r w:rsidR="007A1D7C" w:rsidRPr="00953F21">
        <w:t>to this project. The objective will be to deliver the project for the lower amount. However, there are some factors that have not yet been confirmed and therefore it is prudent to make adequate provision for these.</w:t>
      </w:r>
    </w:p>
    <w:p w:rsidR="00AB2087" w:rsidRPr="00235ABA" w:rsidRDefault="00AB2087" w:rsidP="00AB2087">
      <w:pPr>
        <w:pStyle w:val="ListParagraph"/>
        <w:numPr>
          <w:ilvl w:val="0"/>
          <w:numId w:val="0"/>
        </w:numPr>
        <w:ind w:left="360"/>
      </w:pPr>
    </w:p>
    <w:p w:rsidR="00AB2087" w:rsidRPr="00235ABA" w:rsidRDefault="00AB2087" w:rsidP="00AB2087">
      <w:pPr>
        <w:pStyle w:val="ListParagraph"/>
      </w:pPr>
      <w:r w:rsidRPr="00235ABA">
        <w:t>The preferred option is within the amount set side in the consultation budget with sufficient allowance for a project contingency.</w:t>
      </w:r>
    </w:p>
    <w:p w:rsidR="003C3017" w:rsidRPr="00235ABA" w:rsidRDefault="003C3017" w:rsidP="003C3017">
      <w:pPr>
        <w:pStyle w:val="ListParagraph"/>
        <w:numPr>
          <w:ilvl w:val="0"/>
          <w:numId w:val="0"/>
        </w:numPr>
        <w:ind w:left="426"/>
      </w:pPr>
    </w:p>
    <w:p w:rsidR="00A077DC" w:rsidRPr="00235ABA" w:rsidRDefault="00747FFE" w:rsidP="00AB2087">
      <w:pPr>
        <w:pStyle w:val="ListParagraph"/>
      </w:pPr>
      <w:r w:rsidRPr="00235ABA">
        <w:t xml:space="preserve">As it has not been possible to establish </w:t>
      </w:r>
      <w:r w:rsidR="00331508" w:rsidRPr="00235ABA">
        <w:t xml:space="preserve">an asset value for option </w:t>
      </w:r>
      <w:r w:rsidR="008E36B7">
        <w:t>e</w:t>
      </w:r>
      <w:r w:rsidR="00E0644D">
        <w:t>)</w:t>
      </w:r>
      <w:r w:rsidR="00331508" w:rsidRPr="00235ABA">
        <w:t>, it has</w:t>
      </w:r>
      <w:r w:rsidR="004F62AA" w:rsidRPr="00235ABA">
        <w:t xml:space="preserve"> </w:t>
      </w:r>
      <w:r w:rsidR="00331508" w:rsidRPr="00235ABA">
        <w:t>not been included in the following financial appraisal</w:t>
      </w:r>
      <w:r w:rsidR="007E78D7">
        <w:t xml:space="preserve">. </w:t>
      </w:r>
      <w:r w:rsidR="00CC7038">
        <w:t>The t</w:t>
      </w:r>
      <w:r w:rsidR="007E78D7">
        <w:t>wo</w:t>
      </w:r>
      <w:r w:rsidR="00290048" w:rsidRPr="00235ABA">
        <w:t xml:space="preserve"> </w:t>
      </w:r>
      <w:r w:rsidR="00CC7038">
        <w:t xml:space="preserve">most attractive options have been </w:t>
      </w:r>
      <w:r w:rsidR="00290048" w:rsidRPr="00235ABA">
        <w:t xml:space="preserve">short-listed </w:t>
      </w:r>
      <w:r w:rsidR="00CC7038">
        <w:t xml:space="preserve">and </w:t>
      </w:r>
      <w:r w:rsidR="00290048" w:rsidRPr="00235ABA">
        <w:t>are shown below:</w:t>
      </w:r>
    </w:p>
    <w:p w:rsidR="003A4198" w:rsidRDefault="003A4198" w:rsidP="00331508">
      <w:pPr>
        <w:pStyle w:val="ListParagraph"/>
        <w:numPr>
          <w:ilvl w:val="0"/>
          <w:numId w:val="0"/>
        </w:numPr>
        <w:ind w:left="426"/>
      </w:pPr>
    </w:p>
    <w:p w:rsidR="00CF3F7A" w:rsidRDefault="00CF3F7A" w:rsidP="00331508">
      <w:pPr>
        <w:pStyle w:val="ListParagraph"/>
        <w:numPr>
          <w:ilvl w:val="0"/>
          <w:numId w:val="0"/>
        </w:numPr>
        <w:ind w:left="426"/>
      </w:pPr>
    </w:p>
    <w:p w:rsidR="00CF3F7A" w:rsidRDefault="00CF3F7A" w:rsidP="00331508">
      <w:pPr>
        <w:pStyle w:val="ListParagraph"/>
        <w:numPr>
          <w:ilvl w:val="0"/>
          <w:numId w:val="0"/>
        </w:numPr>
        <w:ind w:left="426"/>
      </w:pPr>
    </w:p>
    <w:p w:rsidR="00CF3F7A" w:rsidRDefault="00CF3F7A" w:rsidP="00331508">
      <w:pPr>
        <w:pStyle w:val="ListParagraph"/>
        <w:numPr>
          <w:ilvl w:val="0"/>
          <w:numId w:val="0"/>
        </w:numPr>
        <w:ind w:left="426"/>
      </w:pPr>
    </w:p>
    <w:p w:rsidR="005327BC" w:rsidRDefault="005327BC">
      <w:pPr>
        <w:spacing w:after="0"/>
      </w:pPr>
      <w:r>
        <w:br w:type="page"/>
      </w:r>
    </w:p>
    <w:p w:rsidR="00CF3F7A" w:rsidRPr="00235ABA" w:rsidRDefault="00CF3F7A" w:rsidP="00331508">
      <w:pPr>
        <w:pStyle w:val="ListParagraph"/>
        <w:numPr>
          <w:ilvl w:val="0"/>
          <w:numId w:val="0"/>
        </w:numPr>
        <w:ind w:left="426"/>
      </w:pPr>
    </w:p>
    <w:tbl>
      <w:tblPr>
        <w:tblW w:w="6140" w:type="dxa"/>
        <w:jc w:val="center"/>
        <w:tblInd w:w="93" w:type="dxa"/>
        <w:tblLook w:val="04A0" w:firstRow="1" w:lastRow="0" w:firstColumn="1" w:lastColumn="0" w:noHBand="0" w:noVBand="1"/>
      </w:tblPr>
      <w:tblGrid>
        <w:gridCol w:w="3580"/>
        <w:gridCol w:w="1200"/>
        <w:gridCol w:w="1360"/>
      </w:tblGrid>
      <w:tr w:rsidR="00331508" w:rsidRPr="00235ABA" w:rsidTr="00901281">
        <w:trPr>
          <w:trHeight w:val="315"/>
          <w:jc w:val="center"/>
        </w:trPr>
        <w:tc>
          <w:tcPr>
            <w:tcW w:w="3580" w:type="dxa"/>
            <w:vMerge w:val="restart"/>
            <w:tcBorders>
              <w:top w:val="single" w:sz="8" w:space="0" w:color="auto"/>
              <w:left w:val="single" w:sz="8" w:space="0" w:color="auto"/>
              <w:bottom w:val="nil"/>
              <w:right w:val="single" w:sz="8" w:space="0" w:color="auto"/>
            </w:tcBorders>
            <w:shd w:val="clear" w:color="000000" w:fill="8DB4E2"/>
            <w:vAlign w:val="center"/>
            <w:hideMark/>
          </w:tcPr>
          <w:p w:rsidR="00331508" w:rsidRPr="00235ABA" w:rsidRDefault="00331508" w:rsidP="00331508">
            <w:pPr>
              <w:spacing w:after="0"/>
              <w:jc w:val="center"/>
              <w:rPr>
                <w:rFonts w:ascii="Calibri" w:hAnsi="Calibri"/>
                <w:b/>
                <w:bCs/>
                <w:sz w:val="22"/>
                <w:szCs w:val="22"/>
              </w:rPr>
            </w:pPr>
            <w:r w:rsidRPr="00235ABA">
              <w:rPr>
                <w:rFonts w:ascii="Calibri" w:hAnsi="Calibri"/>
                <w:b/>
                <w:bCs/>
                <w:sz w:val="22"/>
                <w:szCs w:val="22"/>
              </w:rPr>
              <w:t>Relocation of Decking to Redbridge</w:t>
            </w:r>
          </w:p>
          <w:p w:rsidR="00905FB9" w:rsidRPr="00235ABA" w:rsidRDefault="00905FB9" w:rsidP="00331508">
            <w:pPr>
              <w:spacing w:after="0"/>
              <w:jc w:val="center"/>
              <w:rPr>
                <w:rFonts w:ascii="Calibri" w:hAnsi="Calibri"/>
                <w:b/>
                <w:bCs/>
                <w:sz w:val="22"/>
                <w:szCs w:val="22"/>
              </w:rPr>
            </w:pPr>
            <w:r w:rsidRPr="00235ABA">
              <w:rPr>
                <w:rFonts w:ascii="Calibri" w:hAnsi="Calibri"/>
                <w:b/>
                <w:bCs/>
                <w:sz w:val="22"/>
                <w:szCs w:val="22"/>
              </w:rPr>
              <w:t>Impact on parking numbers based on assumption of lost spaces during OFAS construction</w:t>
            </w:r>
          </w:p>
        </w:tc>
        <w:tc>
          <w:tcPr>
            <w:tcW w:w="1200" w:type="dxa"/>
            <w:tcBorders>
              <w:top w:val="single" w:sz="8" w:space="0" w:color="auto"/>
              <w:left w:val="nil"/>
              <w:bottom w:val="single" w:sz="8" w:space="0" w:color="auto"/>
              <w:right w:val="single" w:sz="8" w:space="0" w:color="auto"/>
            </w:tcBorders>
            <w:shd w:val="clear" w:color="000000" w:fill="8DB4E2"/>
            <w:vAlign w:val="center"/>
            <w:hideMark/>
          </w:tcPr>
          <w:p w:rsidR="00331508" w:rsidRPr="00235ABA" w:rsidRDefault="00331508" w:rsidP="00331508">
            <w:pPr>
              <w:spacing w:after="0"/>
              <w:jc w:val="center"/>
              <w:rPr>
                <w:rFonts w:ascii="Calibri" w:hAnsi="Calibri"/>
                <w:b/>
                <w:bCs/>
                <w:sz w:val="22"/>
                <w:szCs w:val="22"/>
              </w:rPr>
            </w:pPr>
            <w:r w:rsidRPr="00235ABA">
              <w:rPr>
                <w:rFonts w:ascii="Calibri" w:hAnsi="Calibri"/>
                <w:b/>
                <w:bCs/>
                <w:sz w:val="22"/>
                <w:szCs w:val="22"/>
              </w:rPr>
              <w:t xml:space="preserve">Option </w:t>
            </w:r>
            <w:r w:rsidR="00290048" w:rsidRPr="00235ABA">
              <w:rPr>
                <w:rFonts w:ascii="Calibri" w:hAnsi="Calibri"/>
                <w:b/>
                <w:bCs/>
                <w:sz w:val="22"/>
                <w:szCs w:val="22"/>
              </w:rPr>
              <w:t>1</w:t>
            </w:r>
          </w:p>
        </w:tc>
        <w:tc>
          <w:tcPr>
            <w:tcW w:w="1360" w:type="dxa"/>
            <w:tcBorders>
              <w:top w:val="single" w:sz="8" w:space="0" w:color="auto"/>
              <w:left w:val="nil"/>
              <w:bottom w:val="single" w:sz="8" w:space="0" w:color="auto"/>
              <w:right w:val="single" w:sz="8" w:space="0" w:color="auto"/>
            </w:tcBorders>
            <w:shd w:val="clear" w:color="000000" w:fill="8DB4E2"/>
            <w:vAlign w:val="center"/>
            <w:hideMark/>
          </w:tcPr>
          <w:p w:rsidR="00331508" w:rsidRPr="00235ABA" w:rsidRDefault="00331508" w:rsidP="00331508">
            <w:pPr>
              <w:spacing w:after="0"/>
              <w:jc w:val="center"/>
              <w:rPr>
                <w:rFonts w:ascii="Calibri" w:hAnsi="Calibri"/>
                <w:b/>
                <w:bCs/>
                <w:sz w:val="22"/>
                <w:szCs w:val="22"/>
              </w:rPr>
            </w:pPr>
            <w:r w:rsidRPr="00235ABA">
              <w:rPr>
                <w:rFonts w:ascii="Calibri" w:hAnsi="Calibri"/>
                <w:b/>
                <w:bCs/>
                <w:sz w:val="22"/>
                <w:szCs w:val="22"/>
              </w:rPr>
              <w:t xml:space="preserve">Option </w:t>
            </w:r>
            <w:r w:rsidR="00290048" w:rsidRPr="00235ABA">
              <w:rPr>
                <w:rFonts w:ascii="Calibri" w:hAnsi="Calibri"/>
                <w:b/>
                <w:bCs/>
                <w:sz w:val="22"/>
                <w:szCs w:val="22"/>
              </w:rPr>
              <w:t>2</w:t>
            </w:r>
          </w:p>
        </w:tc>
      </w:tr>
      <w:tr w:rsidR="00331508" w:rsidRPr="00235ABA" w:rsidTr="00901281">
        <w:trPr>
          <w:trHeight w:val="2115"/>
          <w:jc w:val="center"/>
        </w:trPr>
        <w:tc>
          <w:tcPr>
            <w:tcW w:w="3580" w:type="dxa"/>
            <w:vMerge/>
            <w:tcBorders>
              <w:top w:val="single" w:sz="8" w:space="0" w:color="auto"/>
              <w:left w:val="single" w:sz="8" w:space="0" w:color="auto"/>
              <w:bottom w:val="nil"/>
              <w:right w:val="single" w:sz="8" w:space="0" w:color="auto"/>
            </w:tcBorders>
            <w:vAlign w:val="center"/>
            <w:hideMark/>
          </w:tcPr>
          <w:p w:rsidR="00331508" w:rsidRPr="00235ABA" w:rsidRDefault="00331508" w:rsidP="00331508">
            <w:pPr>
              <w:spacing w:after="0"/>
              <w:rPr>
                <w:rFonts w:ascii="Calibri" w:hAnsi="Calibri"/>
                <w:b/>
                <w:bCs/>
                <w:sz w:val="22"/>
                <w:szCs w:val="22"/>
              </w:rPr>
            </w:pPr>
          </w:p>
        </w:tc>
        <w:tc>
          <w:tcPr>
            <w:tcW w:w="1200" w:type="dxa"/>
            <w:tcBorders>
              <w:top w:val="nil"/>
              <w:left w:val="nil"/>
              <w:bottom w:val="single" w:sz="8" w:space="0" w:color="auto"/>
              <w:right w:val="single" w:sz="8" w:space="0" w:color="auto"/>
            </w:tcBorders>
            <w:shd w:val="clear" w:color="000000" w:fill="8DB4E2"/>
            <w:vAlign w:val="center"/>
            <w:hideMark/>
          </w:tcPr>
          <w:p w:rsidR="00331508" w:rsidRPr="00235ABA" w:rsidRDefault="00331508" w:rsidP="00331508">
            <w:pPr>
              <w:spacing w:after="0"/>
              <w:jc w:val="center"/>
              <w:rPr>
                <w:rFonts w:ascii="Calibri" w:hAnsi="Calibri"/>
                <w:b/>
                <w:bCs/>
                <w:sz w:val="22"/>
                <w:szCs w:val="22"/>
              </w:rPr>
            </w:pPr>
            <w:r w:rsidRPr="00235ABA">
              <w:rPr>
                <w:rFonts w:ascii="Calibri" w:hAnsi="Calibri"/>
                <w:b/>
                <w:bCs/>
                <w:sz w:val="22"/>
                <w:szCs w:val="22"/>
              </w:rPr>
              <w:t xml:space="preserve">Reduction in number of overall spaces by 331, by creating 100 new </w:t>
            </w:r>
          </w:p>
        </w:tc>
        <w:tc>
          <w:tcPr>
            <w:tcW w:w="1360" w:type="dxa"/>
            <w:tcBorders>
              <w:top w:val="nil"/>
              <w:left w:val="nil"/>
              <w:bottom w:val="single" w:sz="8" w:space="0" w:color="auto"/>
              <w:right w:val="single" w:sz="8" w:space="0" w:color="auto"/>
            </w:tcBorders>
            <w:shd w:val="clear" w:color="000000" w:fill="8DB4E2"/>
            <w:vAlign w:val="center"/>
            <w:hideMark/>
          </w:tcPr>
          <w:p w:rsidR="00331508" w:rsidRPr="00235ABA" w:rsidRDefault="00331508" w:rsidP="00331508">
            <w:pPr>
              <w:spacing w:after="0"/>
              <w:jc w:val="center"/>
              <w:rPr>
                <w:rFonts w:ascii="Calibri" w:hAnsi="Calibri"/>
                <w:b/>
                <w:bCs/>
                <w:sz w:val="22"/>
                <w:szCs w:val="22"/>
              </w:rPr>
            </w:pPr>
            <w:r w:rsidRPr="00235ABA">
              <w:rPr>
                <w:rFonts w:ascii="Calibri" w:hAnsi="Calibri"/>
                <w:b/>
                <w:bCs/>
                <w:sz w:val="22"/>
                <w:szCs w:val="22"/>
              </w:rPr>
              <w:t xml:space="preserve">Reduction in number of overall spaces by 231, by creating 200 new </w:t>
            </w:r>
          </w:p>
        </w:tc>
      </w:tr>
      <w:tr w:rsidR="00331508" w:rsidRPr="00235ABA" w:rsidTr="00901281">
        <w:trPr>
          <w:trHeight w:val="300"/>
          <w:jc w:val="center"/>
        </w:trPr>
        <w:tc>
          <w:tcPr>
            <w:tcW w:w="3580" w:type="dxa"/>
            <w:tcBorders>
              <w:top w:val="nil"/>
              <w:left w:val="single" w:sz="8" w:space="0" w:color="auto"/>
              <w:bottom w:val="nil"/>
              <w:right w:val="nil"/>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 </w:t>
            </w:r>
          </w:p>
        </w:tc>
        <w:tc>
          <w:tcPr>
            <w:tcW w:w="1200" w:type="dxa"/>
            <w:tcBorders>
              <w:top w:val="nil"/>
              <w:left w:val="single" w:sz="8" w:space="0" w:color="auto"/>
              <w:bottom w:val="nil"/>
              <w:right w:val="single" w:sz="8" w:space="0" w:color="auto"/>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 </w:t>
            </w:r>
          </w:p>
        </w:tc>
        <w:tc>
          <w:tcPr>
            <w:tcW w:w="1360" w:type="dxa"/>
            <w:tcBorders>
              <w:top w:val="nil"/>
              <w:left w:val="nil"/>
              <w:bottom w:val="nil"/>
              <w:right w:val="single" w:sz="8" w:space="0" w:color="auto"/>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 </w:t>
            </w:r>
          </w:p>
        </w:tc>
      </w:tr>
      <w:tr w:rsidR="00331508" w:rsidRPr="00235ABA" w:rsidTr="00901281">
        <w:trPr>
          <w:trHeight w:val="300"/>
          <w:jc w:val="center"/>
        </w:trPr>
        <w:tc>
          <w:tcPr>
            <w:tcW w:w="3580" w:type="dxa"/>
            <w:tcBorders>
              <w:top w:val="nil"/>
              <w:left w:val="single" w:sz="8" w:space="0" w:color="auto"/>
              <w:bottom w:val="nil"/>
              <w:right w:val="nil"/>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Additional Spaces created</w:t>
            </w:r>
          </w:p>
        </w:tc>
        <w:tc>
          <w:tcPr>
            <w:tcW w:w="1200" w:type="dxa"/>
            <w:tcBorders>
              <w:top w:val="nil"/>
              <w:left w:val="single" w:sz="8" w:space="0" w:color="auto"/>
              <w:bottom w:val="nil"/>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sz w:val="22"/>
                <w:szCs w:val="22"/>
              </w:rPr>
            </w:pPr>
            <w:r w:rsidRPr="00235ABA">
              <w:rPr>
                <w:rFonts w:ascii="Calibri" w:hAnsi="Calibri"/>
                <w:sz w:val="22"/>
                <w:szCs w:val="22"/>
              </w:rPr>
              <w:t>100</w:t>
            </w:r>
          </w:p>
        </w:tc>
        <w:tc>
          <w:tcPr>
            <w:tcW w:w="1360" w:type="dxa"/>
            <w:tcBorders>
              <w:top w:val="nil"/>
              <w:left w:val="nil"/>
              <w:bottom w:val="nil"/>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sz w:val="22"/>
                <w:szCs w:val="22"/>
              </w:rPr>
            </w:pPr>
            <w:r w:rsidRPr="00235ABA">
              <w:rPr>
                <w:rFonts w:ascii="Calibri" w:hAnsi="Calibri"/>
                <w:sz w:val="22"/>
                <w:szCs w:val="22"/>
              </w:rPr>
              <w:t>200</w:t>
            </w:r>
          </w:p>
        </w:tc>
      </w:tr>
      <w:tr w:rsidR="00331508" w:rsidRPr="00235ABA" w:rsidTr="00901281">
        <w:trPr>
          <w:trHeight w:val="300"/>
          <w:jc w:val="center"/>
        </w:trPr>
        <w:tc>
          <w:tcPr>
            <w:tcW w:w="3580" w:type="dxa"/>
            <w:tcBorders>
              <w:top w:val="nil"/>
              <w:left w:val="single" w:sz="8" w:space="0" w:color="auto"/>
              <w:bottom w:val="nil"/>
              <w:right w:val="nil"/>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 </w:t>
            </w:r>
          </w:p>
        </w:tc>
        <w:tc>
          <w:tcPr>
            <w:tcW w:w="1200" w:type="dxa"/>
            <w:tcBorders>
              <w:top w:val="nil"/>
              <w:left w:val="single" w:sz="8" w:space="0" w:color="auto"/>
              <w:bottom w:val="nil"/>
              <w:right w:val="single" w:sz="8" w:space="0" w:color="auto"/>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 </w:t>
            </w:r>
          </w:p>
        </w:tc>
        <w:tc>
          <w:tcPr>
            <w:tcW w:w="1360" w:type="dxa"/>
            <w:tcBorders>
              <w:top w:val="nil"/>
              <w:left w:val="nil"/>
              <w:bottom w:val="nil"/>
              <w:right w:val="single" w:sz="8" w:space="0" w:color="auto"/>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 </w:t>
            </w:r>
          </w:p>
        </w:tc>
      </w:tr>
      <w:tr w:rsidR="00331508" w:rsidRPr="00235ABA" w:rsidTr="00901281">
        <w:trPr>
          <w:trHeight w:val="300"/>
          <w:jc w:val="center"/>
        </w:trPr>
        <w:tc>
          <w:tcPr>
            <w:tcW w:w="3580" w:type="dxa"/>
            <w:tcBorders>
              <w:top w:val="nil"/>
              <w:left w:val="single" w:sz="8" w:space="0" w:color="auto"/>
              <w:bottom w:val="nil"/>
              <w:right w:val="nil"/>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 </w:t>
            </w:r>
          </w:p>
        </w:tc>
        <w:tc>
          <w:tcPr>
            <w:tcW w:w="1200" w:type="dxa"/>
            <w:tcBorders>
              <w:top w:val="nil"/>
              <w:left w:val="single" w:sz="8" w:space="0" w:color="auto"/>
              <w:bottom w:val="nil"/>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b/>
                <w:bCs/>
                <w:sz w:val="22"/>
                <w:szCs w:val="22"/>
              </w:rPr>
            </w:pPr>
            <w:r w:rsidRPr="00235ABA">
              <w:rPr>
                <w:rFonts w:ascii="Calibri" w:hAnsi="Calibri"/>
                <w:b/>
                <w:bCs/>
                <w:sz w:val="22"/>
                <w:szCs w:val="22"/>
              </w:rPr>
              <w:t> </w:t>
            </w:r>
          </w:p>
        </w:tc>
        <w:tc>
          <w:tcPr>
            <w:tcW w:w="1360" w:type="dxa"/>
            <w:tcBorders>
              <w:top w:val="nil"/>
              <w:left w:val="nil"/>
              <w:bottom w:val="nil"/>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b/>
                <w:bCs/>
                <w:sz w:val="22"/>
                <w:szCs w:val="22"/>
              </w:rPr>
            </w:pPr>
            <w:r w:rsidRPr="00235ABA">
              <w:rPr>
                <w:rFonts w:ascii="Calibri" w:hAnsi="Calibri"/>
                <w:b/>
                <w:bCs/>
                <w:sz w:val="22"/>
                <w:szCs w:val="22"/>
              </w:rPr>
              <w:t> </w:t>
            </w:r>
          </w:p>
        </w:tc>
      </w:tr>
      <w:tr w:rsidR="00331508" w:rsidRPr="00235ABA" w:rsidTr="00901281">
        <w:trPr>
          <w:trHeight w:val="300"/>
          <w:jc w:val="center"/>
        </w:trPr>
        <w:tc>
          <w:tcPr>
            <w:tcW w:w="3580" w:type="dxa"/>
            <w:tcBorders>
              <w:top w:val="nil"/>
              <w:left w:val="single" w:sz="8" w:space="0" w:color="auto"/>
              <w:bottom w:val="nil"/>
              <w:right w:val="nil"/>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Parking Charges Income</w:t>
            </w:r>
          </w:p>
        </w:tc>
        <w:tc>
          <w:tcPr>
            <w:tcW w:w="1200" w:type="dxa"/>
            <w:tcBorders>
              <w:top w:val="nil"/>
              <w:left w:val="single" w:sz="8" w:space="0" w:color="auto"/>
              <w:bottom w:val="nil"/>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color w:val="FF0000"/>
                <w:sz w:val="22"/>
                <w:szCs w:val="22"/>
              </w:rPr>
            </w:pPr>
            <w:r w:rsidRPr="00235ABA">
              <w:rPr>
                <w:rFonts w:ascii="Calibri" w:hAnsi="Calibri"/>
                <w:color w:val="FF0000"/>
                <w:sz w:val="22"/>
                <w:szCs w:val="22"/>
              </w:rPr>
              <w:t>-49</w:t>
            </w:r>
          </w:p>
        </w:tc>
        <w:tc>
          <w:tcPr>
            <w:tcW w:w="1360" w:type="dxa"/>
            <w:tcBorders>
              <w:top w:val="nil"/>
              <w:left w:val="nil"/>
              <w:bottom w:val="nil"/>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color w:val="FF0000"/>
                <w:sz w:val="22"/>
                <w:szCs w:val="22"/>
              </w:rPr>
            </w:pPr>
            <w:r w:rsidRPr="00235ABA">
              <w:rPr>
                <w:rFonts w:ascii="Calibri" w:hAnsi="Calibri"/>
                <w:color w:val="FF0000"/>
                <w:sz w:val="22"/>
                <w:szCs w:val="22"/>
              </w:rPr>
              <w:t>-90</w:t>
            </w:r>
          </w:p>
        </w:tc>
      </w:tr>
      <w:tr w:rsidR="00331508" w:rsidRPr="00235ABA" w:rsidTr="00901281">
        <w:trPr>
          <w:trHeight w:val="315"/>
          <w:jc w:val="center"/>
        </w:trPr>
        <w:tc>
          <w:tcPr>
            <w:tcW w:w="3580" w:type="dxa"/>
            <w:tcBorders>
              <w:top w:val="nil"/>
              <w:left w:val="single" w:sz="8" w:space="0" w:color="auto"/>
              <w:bottom w:val="nil"/>
              <w:right w:val="nil"/>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Cost</w:t>
            </w:r>
          </w:p>
        </w:tc>
        <w:tc>
          <w:tcPr>
            <w:tcW w:w="1200" w:type="dxa"/>
            <w:tcBorders>
              <w:top w:val="nil"/>
              <w:left w:val="single" w:sz="8" w:space="0" w:color="auto"/>
              <w:bottom w:val="nil"/>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sz w:val="22"/>
                <w:szCs w:val="22"/>
              </w:rPr>
            </w:pPr>
            <w:r w:rsidRPr="00235ABA">
              <w:rPr>
                <w:rFonts w:ascii="Calibri" w:hAnsi="Calibri"/>
                <w:sz w:val="22"/>
                <w:szCs w:val="22"/>
              </w:rPr>
              <w:t>10</w:t>
            </w:r>
          </w:p>
        </w:tc>
        <w:tc>
          <w:tcPr>
            <w:tcW w:w="1360" w:type="dxa"/>
            <w:tcBorders>
              <w:top w:val="nil"/>
              <w:left w:val="nil"/>
              <w:bottom w:val="nil"/>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sz w:val="22"/>
                <w:szCs w:val="22"/>
              </w:rPr>
            </w:pPr>
            <w:r w:rsidRPr="00235ABA">
              <w:rPr>
                <w:rFonts w:ascii="Calibri" w:hAnsi="Calibri"/>
                <w:sz w:val="22"/>
                <w:szCs w:val="22"/>
              </w:rPr>
              <w:t>20</w:t>
            </w:r>
          </w:p>
        </w:tc>
      </w:tr>
      <w:tr w:rsidR="00331508" w:rsidRPr="00235ABA" w:rsidTr="00901281">
        <w:trPr>
          <w:trHeight w:val="315"/>
          <w:jc w:val="center"/>
        </w:trPr>
        <w:tc>
          <w:tcPr>
            <w:tcW w:w="3580" w:type="dxa"/>
            <w:tcBorders>
              <w:top w:val="nil"/>
              <w:left w:val="single" w:sz="8" w:space="0" w:color="auto"/>
              <w:bottom w:val="nil"/>
              <w:right w:val="nil"/>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Net Revenue Implication Per Annum</w:t>
            </w:r>
          </w:p>
        </w:tc>
        <w:tc>
          <w:tcPr>
            <w:tcW w:w="1200" w:type="dxa"/>
            <w:tcBorders>
              <w:top w:val="single" w:sz="8" w:space="0" w:color="auto"/>
              <w:left w:val="single" w:sz="8" w:space="0" w:color="auto"/>
              <w:bottom w:val="double" w:sz="6" w:space="0" w:color="auto"/>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color w:val="FF0000"/>
                <w:sz w:val="22"/>
                <w:szCs w:val="22"/>
              </w:rPr>
            </w:pPr>
            <w:r w:rsidRPr="00235ABA">
              <w:rPr>
                <w:rFonts w:ascii="Calibri" w:hAnsi="Calibri"/>
                <w:color w:val="FF0000"/>
                <w:sz w:val="22"/>
                <w:szCs w:val="22"/>
              </w:rPr>
              <w:t>-39</w:t>
            </w:r>
          </w:p>
        </w:tc>
        <w:tc>
          <w:tcPr>
            <w:tcW w:w="1360" w:type="dxa"/>
            <w:tcBorders>
              <w:top w:val="single" w:sz="8" w:space="0" w:color="auto"/>
              <w:left w:val="nil"/>
              <w:bottom w:val="double" w:sz="6" w:space="0" w:color="auto"/>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color w:val="FF0000"/>
                <w:sz w:val="22"/>
                <w:szCs w:val="22"/>
              </w:rPr>
            </w:pPr>
            <w:r w:rsidRPr="00235ABA">
              <w:rPr>
                <w:rFonts w:ascii="Calibri" w:hAnsi="Calibri"/>
                <w:color w:val="FF0000"/>
                <w:sz w:val="22"/>
                <w:szCs w:val="22"/>
              </w:rPr>
              <w:t>-70</w:t>
            </w:r>
          </w:p>
        </w:tc>
      </w:tr>
      <w:tr w:rsidR="00331508" w:rsidRPr="00235ABA" w:rsidTr="00901281">
        <w:trPr>
          <w:trHeight w:val="315"/>
          <w:jc w:val="center"/>
        </w:trPr>
        <w:tc>
          <w:tcPr>
            <w:tcW w:w="3580" w:type="dxa"/>
            <w:tcBorders>
              <w:top w:val="nil"/>
              <w:left w:val="single" w:sz="8" w:space="0" w:color="auto"/>
              <w:bottom w:val="nil"/>
              <w:right w:val="nil"/>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 </w:t>
            </w:r>
          </w:p>
        </w:tc>
        <w:tc>
          <w:tcPr>
            <w:tcW w:w="1200" w:type="dxa"/>
            <w:tcBorders>
              <w:top w:val="nil"/>
              <w:left w:val="single" w:sz="8" w:space="0" w:color="auto"/>
              <w:bottom w:val="nil"/>
              <w:right w:val="single" w:sz="8" w:space="0" w:color="auto"/>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 </w:t>
            </w:r>
          </w:p>
        </w:tc>
        <w:tc>
          <w:tcPr>
            <w:tcW w:w="1360" w:type="dxa"/>
            <w:tcBorders>
              <w:top w:val="nil"/>
              <w:left w:val="nil"/>
              <w:bottom w:val="nil"/>
              <w:right w:val="single" w:sz="8" w:space="0" w:color="auto"/>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 </w:t>
            </w:r>
          </w:p>
        </w:tc>
      </w:tr>
      <w:tr w:rsidR="00331508" w:rsidRPr="00235ABA" w:rsidTr="00901281">
        <w:trPr>
          <w:trHeight w:val="300"/>
          <w:jc w:val="center"/>
        </w:trPr>
        <w:tc>
          <w:tcPr>
            <w:tcW w:w="3580" w:type="dxa"/>
            <w:tcBorders>
              <w:top w:val="nil"/>
              <w:left w:val="single" w:sz="8" w:space="0" w:color="auto"/>
              <w:bottom w:val="nil"/>
              <w:right w:val="nil"/>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Payback period</w:t>
            </w:r>
          </w:p>
        </w:tc>
        <w:tc>
          <w:tcPr>
            <w:tcW w:w="1200" w:type="dxa"/>
            <w:tcBorders>
              <w:top w:val="nil"/>
              <w:left w:val="single" w:sz="8" w:space="0" w:color="auto"/>
              <w:bottom w:val="nil"/>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sz w:val="22"/>
                <w:szCs w:val="22"/>
              </w:rPr>
            </w:pPr>
            <w:proofErr w:type="spellStart"/>
            <w:r w:rsidRPr="00235ABA">
              <w:rPr>
                <w:rFonts w:ascii="Calibri" w:hAnsi="Calibri"/>
                <w:sz w:val="22"/>
                <w:szCs w:val="22"/>
              </w:rPr>
              <w:t>Yr</w:t>
            </w:r>
            <w:proofErr w:type="spellEnd"/>
            <w:r w:rsidRPr="00235ABA">
              <w:rPr>
                <w:rFonts w:ascii="Calibri" w:hAnsi="Calibri"/>
                <w:sz w:val="22"/>
                <w:szCs w:val="22"/>
              </w:rPr>
              <w:t xml:space="preserve"> 26</w:t>
            </w:r>
          </w:p>
        </w:tc>
        <w:tc>
          <w:tcPr>
            <w:tcW w:w="1360" w:type="dxa"/>
            <w:tcBorders>
              <w:top w:val="nil"/>
              <w:left w:val="nil"/>
              <w:bottom w:val="nil"/>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sz w:val="22"/>
                <w:szCs w:val="22"/>
              </w:rPr>
            </w:pPr>
            <w:proofErr w:type="spellStart"/>
            <w:r w:rsidRPr="00235ABA">
              <w:rPr>
                <w:rFonts w:ascii="Calibri" w:hAnsi="Calibri"/>
                <w:sz w:val="22"/>
                <w:szCs w:val="22"/>
              </w:rPr>
              <w:t>Yr</w:t>
            </w:r>
            <w:proofErr w:type="spellEnd"/>
            <w:r w:rsidRPr="00235ABA">
              <w:rPr>
                <w:rFonts w:ascii="Calibri" w:hAnsi="Calibri"/>
                <w:sz w:val="22"/>
                <w:szCs w:val="22"/>
              </w:rPr>
              <w:t xml:space="preserve"> 25</w:t>
            </w:r>
          </w:p>
        </w:tc>
      </w:tr>
      <w:tr w:rsidR="00331508" w:rsidRPr="00235ABA" w:rsidTr="00901281">
        <w:trPr>
          <w:trHeight w:val="300"/>
          <w:jc w:val="center"/>
        </w:trPr>
        <w:tc>
          <w:tcPr>
            <w:tcW w:w="3580" w:type="dxa"/>
            <w:tcBorders>
              <w:top w:val="nil"/>
              <w:left w:val="single" w:sz="8" w:space="0" w:color="auto"/>
              <w:bottom w:val="nil"/>
              <w:right w:val="nil"/>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 </w:t>
            </w:r>
          </w:p>
        </w:tc>
        <w:tc>
          <w:tcPr>
            <w:tcW w:w="1200" w:type="dxa"/>
            <w:tcBorders>
              <w:top w:val="nil"/>
              <w:left w:val="single" w:sz="8" w:space="0" w:color="auto"/>
              <w:bottom w:val="nil"/>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sz w:val="22"/>
                <w:szCs w:val="22"/>
              </w:rPr>
            </w:pPr>
            <w:r w:rsidRPr="00235ABA">
              <w:rPr>
                <w:rFonts w:ascii="Calibri" w:hAnsi="Calibri"/>
                <w:sz w:val="22"/>
                <w:szCs w:val="22"/>
              </w:rPr>
              <w:t> </w:t>
            </w:r>
          </w:p>
        </w:tc>
        <w:tc>
          <w:tcPr>
            <w:tcW w:w="1360" w:type="dxa"/>
            <w:tcBorders>
              <w:top w:val="nil"/>
              <w:left w:val="nil"/>
              <w:bottom w:val="nil"/>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sz w:val="22"/>
                <w:szCs w:val="22"/>
              </w:rPr>
            </w:pPr>
            <w:r w:rsidRPr="00235ABA">
              <w:rPr>
                <w:rFonts w:ascii="Calibri" w:hAnsi="Calibri"/>
                <w:sz w:val="22"/>
                <w:szCs w:val="22"/>
              </w:rPr>
              <w:t> </w:t>
            </w:r>
          </w:p>
        </w:tc>
      </w:tr>
      <w:tr w:rsidR="00331508" w:rsidRPr="00235ABA" w:rsidTr="00901281">
        <w:trPr>
          <w:trHeight w:val="300"/>
          <w:jc w:val="center"/>
        </w:trPr>
        <w:tc>
          <w:tcPr>
            <w:tcW w:w="3580" w:type="dxa"/>
            <w:tcBorders>
              <w:top w:val="nil"/>
              <w:left w:val="single" w:sz="8" w:space="0" w:color="auto"/>
              <w:bottom w:val="nil"/>
              <w:right w:val="nil"/>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IRR</w:t>
            </w:r>
          </w:p>
        </w:tc>
        <w:tc>
          <w:tcPr>
            <w:tcW w:w="1200" w:type="dxa"/>
            <w:tcBorders>
              <w:top w:val="nil"/>
              <w:left w:val="single" w:sz="8" w:space="0" w:color="auto"/>
              <w:bottom w:val="nil"/>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sz w:val="22"/>
                <w:szCs w:val="22"/>
              </w:rPr>
            </w:pPr>
            <w:r w:rsidRPr="00235ABA">
              <w:rPr>
                <w:rFonts w:ascii="Calibri" w:hAnsi="Calibri"/>
                <w:sz w:val="22"/>
                <w:szCs w:val="22"/>
              </w:rPr>
              <w:t>1.26%</w:t>
            </w:r>
          </w:p>
        </w:tc>
        <w:tc>
          <w:tcPr>
            <w:tcW w:w="1360" w:type="dxa"/>
            <w:tcBorders>
              <w:top w:val="nil"/>
              <w:left w:val="nil"/>
              <w:bottom w:val="nil"/>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sz w:val="22"/>
                <w:szCs w:val="22"/>
              </w:rPr>
            </w:pPr>
            <w:r w:rsidRPr="00235ABA">
              <w:rPr>
                <w:rFonts w:ascii="Calibri" w:hAnsi="Calibri"/>
                <w:sz w:val="22"/>
                <w:szCs w:val="22"/>
              </w:rPr>
              <w:t>1.58%</w:t>
            </w:r>
          </w:p>
        </w:tc>
      </w:tr>
      <w:tr w:rsidR="00331508" w:rsidRPr="00235ABA" w:rsidTr="00901281">
        <w:trPr>
          <w:trHeight w:val="300"/>
          <w:jc w:val="center"/>
        </w:trPr>
        <w:tc>
          <w:tcPr>
            <w:tcW w:w="3580" w:type="dxa"/>
            <w:tcBorders>
              <w:top w:val="nil"/>
              <w:left w:val="single" w:sz="8" w:space="0" w:color="auto"/>
              <w:bottom w:val="nil"/>
              <w:right w:val="nil"/>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 </w:t>
            </w:r>
          </w:p>
        </w:tc>
        <w:tc>
          <w:tcPr>
            <w:tcW w:w="1200" w:type="dxa"/>
            <w:tcBorders>
              <w:top w:val="nil"/>
              <w:left w:val="single" w:sz="8" w:space="0" w:color="auto"/>
              <w:bottom w:val="nil"/>
              <w:right w:val="single" w:sz="8" w:space="0" w:color="auto"/>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 </w:t>
            </w:r>
          </w:p>
        </w:tc>
        <w:tc>
          <w:tcPr>
            <w:tcW w:w="1360" w:type="dxa"/>
            <w:tcBorders>
              <w:top w:val="nil"/>
              <w:left w:val="nil"/>
              <w:bottom w:val="nil"/>
              <w:right w:val="single" w:sz="8" w:space="0" w:color="auto"/>
            </w:tcBorders>
            <w:shd w:val="clear" w:color="000000" w:fill="FFFFFF"/>
            <w:noWrap/>
            <w:vAlign w:val="center"/>
            <w:hideMark/>
          </w:tcPr>
          <w:p w:rsidR="00331508" w:rsidRPr="00235ABA" w:rsidRDefault="00331508" w:rsidP="00331508">
            <w:pPr>
              <w:spacing w:after="0"/>
              <w:rPr>
                <w:rFonts w:ascii="Calibri" w:hAnsi="Calibri"/>
                <w:sz w:val="22"/>
                <w:szCs w:val="22"/>
              </w:rPr>
            </w:pPr>
            <w:r w:rsidRPr="00235ABA">
              <w:rPr>
                <w:rFonts w:ascii="Calibri" w:hAnsi="Calibri"/>
                <w:sz w:val="22"/>
                <w:szCs w:val="22"/>
              </w:rPr>
              <w:t> </w:t>
            </w:r>
          </w:p>
        </w:tc>
      </w:tr>
      <w:tr w:rsidR="00331508" w:rsidRPr="00235ABA" w:rsidTr="00901281">
        <w:trPr>
          <w:trHeight w:val="315"/>
          <w:jc w:val="center"/>
        </w:trPr>
        <w:tc>
          <w:tcPr>
            <w:tcW w:w="3580" w:type="dxa"/>
            <w:tcBorders>
              <w:top w:val="nil"/>
              <w:left w:val="single" w:sz="8" w:space="0" w:color="auto"/>
              <w:bottom w:val="single" w:sz="8" w:space="0" w:color="auto"/>
              <w:right w:val="nil"/>
            </w:tcBorders>
            <w:shd w:val="clear" w:color="000000" w:fill="FFFFFF"/>
            <w:vAlign w:val="center"/>
            <w:hideMark/>
          </w:tcPr>
          <w:p w:rsidR="00331508" w:rsidRPr="00235ABA" w:rsidRDefault="00901281" w:rsidP="00331508">
            <w:pPr>
              <w:spacing w:after="0"/>
              <w:rPr>
                <w:rFonts w:ascii="Calibri" w:hAnsi="Calibri"/>
                <w:sz w:val="22"/>
                <w:szCs w:val="22"/>
              </w:rPr>
            </w:pPr>
            <w:r w:rsidRPr="00235ABA">
              <w:rPr>
                <w:rFonts w:ascii="Calibri" w:hAnsi="Calibri"/>
                <w:sz w:val="22"/>
                <w:szCs w:val="22"/>
              </w:rPr>
              <w:t>Capital</w:t>
            </w:r>
            <w:r w:rsidR="00331508" w:rsidRPr="00235ABA">
              <w:rPr>
                <w:rFonts w:ascii="Calibri" w:hAnsi="Calibri"/>
                <w:sz w:val="22"/>
                <w:szCs w:val="22"/>
              </w:rPr>
              <w:t xml:space="preserve"> Investment  Required</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sz w:val="22"/>
                <w:szCs w:val="22"/>
              </w:rPr>
            </w:pPr>
            <w:r w:rsidRPr="00235ABA">
              <w:rPr>
                <w:rFonts w:ascii="Calibri" w:hAnsi="Calibri"/>
                <w:sz w:val="22"/>
                <w:szCs w:val="22"/>
              </w:rPr>
              <w:t>737</w:t>
            </w:r>
          </w:p>
        </w:tc>
        <w:tc>
          <w:tcPr>
            <w:tcW w:w="1360" w:type="dxa"/>
            <w:tcBorders>
              <w:top w:val="nil"/>
              <w:left w:val="nil"/>
              <w:bottom w:val="single" w:sz="8" w:space="0" w:color="auto"/>
              <w:right w:val="single" w:sz="8" w:space="0" w:color="auto"/>
            </w:tcBorders>
            <w:shd w:val="clear" w:color="000000" w:fill="FFFFFF"/>
            <w:noWrap/>
            <w:vAlign w:val="center"/>
            <w:hideMark/>
          </w:tcPr>
          <w:p w:rsidR="00331508" w:rsidRPr="00235ABA" w:rsidRDefault="00331508" w:rsidP="00331508">
            <w:pPr>
              <w:spacing w:after="0"/>
              <w:jc w:val="right"/>
              <w:rPr>
                <w:rFonts w:ascii="Calibri" w:hAnsi="Calibri"/>
                <w:sz w:val="22"/>
                <w:szCs w:val="22"/>
              </w:rPr>
            </w:pPr>
            <w:r w:rsidRPr="00235ABA">
              <w:rPr>
                <w:rFonts w:ascii="Calibri" w:hAnsi="Calibri"/>
                <w:sz w:val="22"/>
                <w:szCs w:val="22"/>
              </w:rPr>
              <w:t>1,287</w:t>
            </w:r>
          </w:p>
        </w:tc>
      </w:tr>
    </w:tbl>
    <w:p w:rsidR="00331508" w:rsidRPr="00235ABA" w:rsidRDefault="00331508" w:rsidP="00331508">
      <w:pPr>
        <w:pStyle w:val="ListParagraph"/>
        <w:numPr>
          <w:ilvl w:val="0"/>
          <w:numId w:val="0"/>
        </w:numPr>
        <w:ind w:left="426"/>
      </w:pPr>
    </w:p>
    <w:p w:rsidR="003C3017" w:rsidRPr="00235ABA" w:rsidRDefault="003C3017" w:rsidP="003C3017">
      <w:pPr>
        <w:pStyle w:val="ListParagraph"/>
        <w:numPr>
          <w:ilvl w:val="0"/>
          <w:numId w:val="0"/>
        </w:numPr>
        <w:ind w:left="426" w:hanging="426"/>
      </w:pPr>
      <w:r w:rsidRPr="00235ABA">
        <w:t xml:space="preserve"> </w:t>
      </w:r>
    </w:p>
    <w:p w:rsidR="00BE7019" w:rsidRPr="00235ABA" w:rsidRDefault="00901281" w:rsidP="00901281">
      <w:pPr>
        <w:pStyle w:val="ListParagraph"/>
      </w:pPr>
      <w:r w:rsidRPr="00235ABA">
        <w:t>Whilst the payback period is an important factor, it should not be the only consideration when reviewing the options available. The deck will provide other</w:t>
      </w:r>
      <w:r w:rsidR="00733C94" w:rsidRPr="00235ABA">
        <w:t xml:space="preserve"> non-financial benefits to the C</w:t>
      </w:r>
      <w:r w:rsidRPr="00235ABA">
        <w:t>ouncil, including: the ability to effectivel</w:t>
      </w:r>
      <w:r w:rsidR="00676287">
        <w:t>y manage the transport network and ensuring</w:t>
      </w:r>
      <w:r w:rsidRPr="00235ABA">
        <w:t xml:space="preserve"> people are able to access the city</w:t>
      </w:r>
      <w:r w:rsidR="00082BD1" w:rsidRPr="00235ABA">
        <w:t>,</w:t>
      </w:r>
      <w:r w:rsidRPr="00235ABA">
        <w:t xml:space="preserve"> thus supporting the local economy.</w:t>
      </w:r>
    </w:p>
    <w:p w:rsidR="00D97FDA" w:rsidRPr="00235ABA" w:rsidRDefault="00D97FDA" w:rsidP="00D97FDA">
      <w:pPr>
        <w:pStyle w:val="ListParagraph"/>
        <w:numPr>
          <w:ilvl w:val="0"/>
          <w:numId w:val="0"/>
        </w:numPr>
        <w:ind w:left="426"/>
      </w:pPr>
    </w:p>
    <w:p w:rsidR="00D97FDA" w:rsidRPr="00235ABA" w:rsidRDefault="00D97FDA" w:rsidP="00D97FDA">
      <w:pPr>
        <w:pStyle w:val="ListParagraph"/>
      </w:pPr>
      <w:r w:rsidRPr="00235ABA">
        <w:t xml:space="preserve">The impact of the Environment Agency Compound for the Oxford Flood Alleviation Scheme will result total loss during the build phase of 431 spaces. At a 70% occupancy rate this would equate to a loss of 247 income earning spaces per day, which </w:t>
      </w:r>
      <w:r w:rsidR="006866C2" w:rsidRPr="00235ABA">
        <w:t xml:space="preserve">is </w:t>
      </w:r>
      <w:r w:rsidRPr="00235ABA">
        <w:t>c£151,000 per annum.</w:t>
      </w:r>
    </w:p>
    <w:p w:rsidR="00901281" w:rsidRPr="00235ABA" w:rsidRDefault="00901281" w:rsidP="00901281">
      <w:pPr>
        <w:pStyle w:val="ListParagraph"/>
        <w:numPr>
          <w:ilvl w:val="0"/>
          <w:numId w:val="0"/>
        </w:numPr>
        <w:ind w:left="426"/>
      </w:pPr>
    </w:p>
    <w:p w:rsidR="001267D8" w:rsidRPr="00235ABA" w:rsidRDefault="00E0644D" w:rsidP="001267D8">
      <w:pPr>
        <w:pStyle w:val="ListParagraph"/>
      </w:pPr>
      <w:r>
        <w:t>Option b)</w:t>
      </w:r>
      <w:r w:rsidR="001267D8" w:rsidRPr="00235ABA">
        <w:t xml:space="preserve"> is in line with the strategy on P&amp;R and protects parking income. </w:t>
      </w:r>
      <w:r w:rsidR="003A357F" w:rsidRPr="00235ABA">
        <w:t>Whilst there are no plans to increase the P&amp;R tariffs, i</w:t>
      </w:r>
      <w:r w:rsidR="001267D8" w:rsidRPr="00235ABA">
        <w:t>t should be noted that for every 50 pence increase to the parking fee</w:t>
      </w:r>
      <w:r w:rsidR="003A357F" w:rsidRPr="00235ABA">
        <w:t xml:space="preserve">, it is estimated that the </w:t>
      </w:r>
      <w:r w:rsidR="001267D8" w:rsidRPr="00235ABA">
        <w:t xml:space="preserve">payback </w:t>
      </w:r>
      <w:r w:rsidR="003A357F" w:rsidRPr="00235ABA">
        <w:t xml:space="preserve">period would be reduced </w:t>
      </w:r>
      <w:r w:rsidR="001267D8" w:rsidRPr="00235ABA">
        <w:t>by approximately 6 years</w:t>
      </w:r>
      <w:r w:rsidR="003A357F" w:rsidRPr="00235ABA">
        <w:t xml:space="preserve">. </w:t>
      </w:r>
    </w:p>
    <w:p w:rsidR="00AB2087" w:rsidRDefault="00AB2087" w:rsidP="004F62AA">
      <w:pPr>
        <w:pStyle w:val="ListParagraph"/>
        <w:numPr>
          <w:ilvl w:val="0"/>
          <w:numId w:val="0"/>
        </w:numPr>
        <w:ind w:left="426" w:hanging="426"/>
        <w:rPr>
          <w:b/>
        </w:rPr>
      </w:pPr>
    </w:p>
    <w:p w:rsidR="00CF3F7A" w:rsidRDefault="00CF3F7A" w:rsidP="004F62AA">
      <w:pPr>
        <w:pStyle w:val="ListParagraph"/>
        <w:numPr>
          <w:ilvl w:val="0"/>
          <w:numId w:val="0"/>
        </w:numPr>
        <w:ind w:left="426" w:hanging="426"/>
        <w:rPr>
          <w:b/>
        </w:rPr>
      </w:pPr>
    </w:p>
    <w:p w:rsidR="00CF3F7A" w:rsidRDefault="00CF3F7A" w:rsidP="004F62AA">
      <w:pPr>
        <w:pStyle w:val="ListParagraph"/>
        <w:numPr>
          <w:ilvl w:val="0"/>
          <w:numId w:val="0"/>
        </w:numPr>
        <w:ind w:left="426" w:hanging="426"/>
        <w:rPr>
          <w:b/>
        </w:rPr>
      </w:pPr>
    </w:p>
    <w:p w:rsidR="00CF3F7A" w:rsidRPr="00235ABA" w:rsidRDefault="00CF3F7A" w:rsidP="004F62AA">
      <w:pPr>
        <w:pStyle w:val="ListParagraph"/>
        <w:numPr>
          <w:ilvl w:val="0"/>
          <w:numId w:val="0"/>
        </w:numPr>
        <w:ind w:left="426" w:hanging="426"/>
        <w:rPr>
          <w:b/>
        </w:rPr>
      </w:pPr>
    </w:p>
    <w:p w:rsidR="00901281" w:rsidRPr="00235ABA" w:rsidRDefault="004F62AA" w:rsidP="004F62AA">
      <w:pPr>
        <w:pStyle w:val="ListParagraph"/>
        <w:numPr>
          <w:ilvl w:val="0"/>
          <w:numId w:val="0"/>
        </w:numPr>
        <w:ind w:left="426" w:hanging="426"/>
        <w:rPr>
          <w:b/>
        </w:rPr>
      </w:pPr>
      <w:r w:rsidRPr="00235ABA">
        <w:rPr>
          <w:b/>
        </w:rPr>
        <w:lastRenderedPageBreak/>
        <w:t xml:space="preserve">Environmental </w:t>
      </w:r>
      <w:r w:rsidR="00901281" w:rsidRPr="00235ABA">
        <w:rPr>
          <w:b/>
        </w:rPr>
        <w:t xml:space="preserve"> </w:t>
      </w:r>
    </w:p>
    <w:p w:rsidR="00901281" w:rsidRPr="00235ABA" w:rsidRDefault="00901281" w:rsidP="00901281">
      <w:pPr>
        <w:pStyle w:val="ListParagraph"/>
        <w:numPr>
          <w:ilvl w:val="0"/>
          <w:numId w:val="0"/>
        </w:numPr>
        <w:ind w:left="426"/>
      </w:pPr>
    </w:p>
    <w:p w:rsidR="001267D8" w:rsidRPr="00235ABA" w:rsidRDefault="004F62AA" w:rsidP="001267D8">
      <w:pPr>
        <w:pStyle w:val="ListParagraph"/>
      </w:pPr>
      <w:r w:rsidRPr="00235ABA">
        <w:t>The current policy of the City and County Council is to encourage the use of the P&amp;R sites and dissuade motorist from entering the city. This policy has been extremely successful in reducing city centre congestion</w:t>
      </w:r>
      <w:r w:rsidR="00747FFE" w:rsidRPr="00235ABA">
        <w:t xml:space="preserve"> and pollution</w:t>
      </w:r>
      <w:r w:rsidRPr="00235ABA">
        <w:t xml:space="preserve">. </w:t>
      </w:r>
    </w:p>
    <w:p w:rsidR="004F62AA" w:rsidRPr="00235ABA" w:rsidRDefault="004F62AA" w:rsidP="004F62AA">
      <w:pPr>
        <w:pStyle w:val="ListParagraph"/>
        <w:numPr>
          <w:ilvl w:val="0"/>
          <w:numId w:val="0"/>
        </w:numPr>
        <w:ind w:left="426"/>
      </w:pPr>
    </w:p>
    <w:p w:rsidR="004F62AA" w:rsidRPr="00235ABA" w:rsidRDefault="00A66759" w:rsidP="001267D8">
      <w:pPr>
        <w:pStyle w:val="ListParagraph"/>
      </w:pPr>
      <w:r w:rsidRPr="00235ABA">
        <w:t xml:space="preserve">In order for the P&amp;R sites to remain </w:t>
      </w:r>
      <w:r w:rsidR="00733C94" w:rsidRPr="00235ABA">
        <w:t xml:space="preserve">an </w:t>
      </w:r>
      <w:r w:rsidRPr="00235ABA">
        <w:t xml:space="preserve">effective measure of control, there does need to be capacity in the sites to meet the demand. If the sites are unable to accommodate the required amount of vehicles, customers will be forced to seek alternatives, which could result in wasted mileage and congestion. </w:t>
      </w:r>
    </w:p>
    <w:p w:rsidR="00A66759" w:rsidRPr="00235ABA" w:rsidRDefault="00A66759" w:rsidP="00A66759">
      <w:pPr>
        <w:pStyle w:val="ListParagraph"/>
        <w:numPr>
          <w:ilvl w:val="0"/>
          <w:numId w:val="0"/>
        </w:numPr>
        <w:ind w:left="426"/>
      </w:pPr>
    </w:p>
    <w:p w:rsidR="00A66759" w:rsidRPr="00235ABA" w:rsidRDefault="00082BD1" w:rsidP="00A66759">
      <w:pPr>
        <w:pStyle w:val="ListParagraph"/>
      </w:pPr>
      <w:r w:rsidRPr="00235ABA">
        <w:t>A</w:t>
      </w:r>
      <w:r w:rsidR="00A66759" w:rsidRPr="00235ABA">
        <w:t xml:space="preserve">s the amount of city centre parking is reduced and </w:t>
      </w:r>
      <w:r w:rsidR="006866C2" w:rsidRPr="00235ABA">
        <w:t xml:space="preserve">the </w:t>
      </w:r>
      <w:r w:rsidR="00A66759" w:rsidRPr="00235ABA">
        <w:t xml:space="preserve">zero emission </w:t>
      </w:r>
      <w:proofErr w:type="gramStart"/>
      <w:r w:rsidR="00A66759" w:rsidRPr="00235ABA">
        <w:t>zone</w:t>
      </w:r>
      <w:proofErr w:type="gramEnd"/>
      <w:r w:rsidR="006866C2" w:rsidRPr="00235ABA">
        <w:t xml:space="preserve"> is</w:t>
      </w:r>
      <w:r w:rsidR="00A66759" w:rsidRPr="00235ABA">
        <w:t xml:space="preserve"> introduced, </w:t>
      </w:r>
      <w:r w:rsidR="00747FFE" w:rsidRPr="00235ABA">
        <w:t xml:space="preserve">it is anticipated </w:t>
      </w:r>
      <w:r w:rsidR="00A66759" w:rsidRPr="00235ABA">
        <w:t xml:space="preserve">the requirement for P&amp;R parking will increase. It is essential therefore that provision is made to facilitate a positive change in </w:t>
      </w:r>
      <w:r w:rsidR="00F6409A" w:rsidRPr="00235ABA">
        <w:t>customers’</w:t>
      </w:r>
      <w:r w:rsidR="00A66759" w:rsidRPr="00235ABA">
        <w:t xml:space="preserve"> behaviour.   </w:t>
      </w:r>
    </w:p>
    <w:p w:rsidR="00972697" w:rsidRPr="00235ABA" w:rsidRDefault="00972697" w:rsidP="00972697">
      <w:pPr>
        <w:pStyle w:val="ListParagraph"/>
        <w:numPr>
          <w:ilvl w:val="0"/>
          <w:numId w:val="0"/>
        </w:numPr>
        <w:ind w:left="426"/>
      </w:pPr>
    </w:p>
    <w:p w:rsidR="00972697" w:rsidRDefault="00972697" w:rsidP="00972697">
      <w:pPr>
        <w:pStyle w:val="ListParagraph"/>
        <w:numPr>
          <w:ilvl w:val="0"/>
          <w:numId w:val="0"/>
        </w:numPr>
        <w:ind w:left="426" w:hanging="426"/>
        <w:rPr>
          <w:b/>
        </w:rPr>
      </w:pPr>
      <w:r w:rsidRPr="00235ABA">
        <w:rPr>
          <w:b/>
        </w:rPr>
        <w:t xml:space="preserve">Legal </w:t>
      </w:r>
    </w:p>
    <w:p w:rsidR="00953F21" w:rsidRDefault="00953F21" w:rsidP="00972697">
      <w:pPr>
        <w:pStyle w:val="ListParagraph"/>
        <w:numPr>
          <w:ilvl w:val="0"/>
          <w:numId w:val="0"/>
        </w:numPr>
        <w:ind w:left="426" w:hanging="426"/>
        <w:rPr>
          <w:b/>
        </w:rPr>
      </w:pPr>
    </w:p>
    <w:p w:rsidR="007E78D7" w:rsidRDefault="007E78D7" w:rsidP="007E78D7">
      <w:pPr>
        <w:pStyle w:val="ListParagraph"/>
      </w:pPr>
      <w:r>
        <w:t xml:space="preserve"> The Council is under a planning and contractual obligation to OXWED to remove the carpark extension and decking by June 2019.</w:t>
      </w:r>
    </w:p>
    <w:p w:rsidR="007E78D7" w:rsidRDefault="007E78D7" w:rsidP="00920C39">
      <w:pPr>
        <w:pStyle w:val="ListParagraph"/>
      </w:pPr>
      <w:r>
        <w:t xml:space="preserve">It is proposed that the decking would be installed under </w:t>
      </w:r>
      <w:r w:rsidR="00920C39">
        <w:t xml:space="preserve">Permitted Development Rights contained in Part 12 of The Town and Country Planning (General Permitted Development) (England) Order 2015.  </w:t>
      </w:r>
      <w:r w:rsidR="00612072">
        <w:t>Advice is being taken on this point.</w:t>
      </w:r>
    </w:p>
    <w:p w:rsidR="00953F21" w:rsidRPr="00235ABA" w:rsidRDefault="00920C39" w:rsidP="00953F21">
      <w:pPr>
        <w:pStyle w:val="ListParagraph"/>
      </w:pPr>
      <w:r>
        <w:t>The decking would be added to the public car parking operation using the usual off street parking orders.</w:t>
      </w:r>
    </w:p>
    <w:p w:rsidR="00972697" w:rsidRDefault="00972697" w:rsidP="00972697">
      <w:pPr>
        <w:pStyle w:val="ListParagraph"/>
        <w:numPr>
          <w:ilvl w:val="0"/>
          <w:numId w:val="0"/>
        </w:numPr>
        <w:rPr>
          <w:b/>
          <w:color w:val="auto"/>
        </w:rPr>
      </w:pPr>
      <w:r w:rsidRPr="00235ABA">
        <w:rPr>
          <w:b/>
          <w:color w:val="auto"/>
        </w:rPr>
        <w:t xml:space="preserve">Risk </w:t>
      </w:r>
    </w:p>
    <w:p w:rsidR="006A45B5" w:rsidRDefault="006A45B5" w:rsidP="006A45B5">
      <w:pPr>
        <w:pStyle w:val="ListParagraph"/>
      </w:pPr>
      <w:r>
        <w:t xml:space="preserve"> The probability that the OFAS scheme will go ahead is high.  However, to date the scheme does not have planning permission and has not achieved Final Business Case.</w:t>
      </w:r>
    </w:p>
    <w:p w:rsidR="006A45B5" w:rsidRDefault="006A45B5" w:rsidP="006A45B5">
      <w:pPr>
        <w:pStyle w:val="ListParagraph"/>
      </w:pPr>
      <w:r>
        <w:t xml:space="preserve">The dismantling, transport and reassembling of the decking </w:t>
      </w:r>
      <w:proofErr w:type="gramStart"/>
      <w:r>
        <w:t>is</w:t>
      </w:r>
      <w:proofErr w:type="gramEnd"/>
      <w:r>
        <w:t xml:space="preserve"> complex and close control would be re</w:t>
      </w:r>
      <w:r w:rsidR="00A83EEA">
        <w:t>quired of costs.  We do however</w:t>
      </w:r>
      <w:r>
        <w:t xml:space="preserve"> have the experience of being the main contractor when the decking was first installed.</w:t>
      </w:r>
    </w:p>
    <w:p w:rsidR="006A45B5" w:rsidRPr="00235ABA" w:rsidRDefault="006A45B5" w:rsidP="006A45B5">
      <w:pPr>
        <w:pStyle w:val="ListParagraph"/>
      </w:pPr>
      <w:r>
        <w:t>Ground conditions at Redbridge, being a former waste disposal site, are an issue.  However, it is considered that adequate due diligence has been carried out regarding this and other matters to enable the project to proceed.</w:t>
      </w:r>
    </w:p>
    <w:p w:rsidR="00AB2087" w:rsidRPr="00235ABA" w:rsidRDefault="00AB2087" w:rsidP="006A45B5">
      <w:pPr>
        <w:ind w:left="360" w:hanging="360"/>
      </w:pPr>
    </w:p>
    <w:p w:rsidR="00AB2087" w:rsidRPr="00235ABA" w:rsidRDefault="00AB2087" w:rsidP="00AB2087">
      <w:pPr>
        <w:rPr>
          <w:b/>
        </w:rPr>
      </w:pPr>
      <w:r w:rsidRPr="00235ABA">
        <w:rPr>
          <w:b/>
        </w:rPr>
        <w:t>Conclusion</w:t>
      </w:r>
    </w:p>
    <w:p w:rsidR="00AB2087" w:rsidRPr="00235ABA" w:rsidRDefault="00AB2087" w:rsidP="00AB2087">
      <w:pPr>
        <w:pStyle w:val="ListParagraph"/>
        <w:numPr>
          <w:ilvl w:val="0"/>
          <w:numId w:val="0"/>
        </w:numPr>
        <w:ind w:left="360"/>
      </w:pPr>
    </w:p>
    <w:p w:rsidR="00AB2087" w:rsidRPr="00235ABA" w:rsidRDefault="00AB2087" w:rsidP="00AB2087">
      <w:pPr>
        <w:pStyle w:val="ListParagraph"/>
      </w:pPr>
      <w:r w:rsidRPr="00235ABA">
        <w:t>The Council has to act to remove the additional parking installed during the Westgate re-development.  All options have an associated cost.</w:t>
      </w:r>
    </w:p>
    <w:p w:rsidR="004E6571" w:rsidRPr="00235ABA" w:rsidRDefault="004E6571" w:rsidP="00AB2087"/>
    <w:p w:rsidR="007535BF" w:rsidRPr="00235ABA" w:rsidRDefault="007535BF" w:rsidP="003A4198">
      <w:pPr>
        <w:pStyle w:val="ListParagraph"/>
      </w:pPr>
      <w:r w:rsidRPr="00235ABA">
        <w:lastRenderedPageBreak/>
        <w:t xml:space="preserve">During the construction period, the OFAS scheme will have a negative impact on parking at Redbridge P&amp;R. </w:t>
      </w:r>
      <w:r w:rsidR="00905FB9" w:rsidRPr="00235ABA">
        <w:t>The use of the decking provides an opportunity to mitigate that impact.</w:t>
      </w:r>
    </w:p>
    <w:p w:rsidR="000C328C" w:rsidRPr="00235ABA" w:rsidRDefault="000C328C" w:rsidP="000C328C">
      <w:pPr>
        <w:pStyle w:val="bParagraphtext"/>
        <w:numPr>
          <w:ilvl w:val="0"/>
          <w:numId w:val="0"/>
        </w:numPr>
        <w:ind w:left="426" w:hanging="426"/>
      </w:pPr>
    </w:p>
    <w:p w:rsidR="002329CF" w:rsidRPr="00235ABA"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235ABA"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235ABA" w:rsidRDefault="00E87F7A" w:rsidP="00A46E98">
            <w:pPr>
              <w:rPr>
                <w:b/>
              </w:rPr>
            </w:pPr>
            <w:r w:rsidRPr="00235ABA">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235ABA" w:rsidRDefault="00676287" w:rsidP="00A46E98">
            <w:r>
              <w:t>Jason Munro</w:t>
            </w:r>
          </w:p>
        </w:tc>
      </w:tr>
      <w:tr w:rsidR="00DF093E" w:rsidRPr="00235ABA"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235ABA" w:rsidRDefault="00E87F7A" w:rsidP="00A46E98">
            <w:r w:rsidRPr="00235ABA">
              <w:t>Job title</w:t>
            </w:r>
          </w:p>
        </w:tc>
        <w:tc>
          <w:tcPr>
            <w:tcW w:w="4962" w:type="dxa"/>
            <w:tcBorders>
              <w:top w:val="single" w:sz="8" w:space="0" w:color="000000"/>
              <w:left w:val="nil"/>
              <w:bottom w:val="nil"/>
              <w:right w:val="single" w:sz="8" w:space="0" w:color="000000"/>
            </w:tcBorders>
            <w:shd w:val="clear" w:color="auto" w:fill="auto"/>
          </w:tcPr>
          <w:p w:rsidR="00E87F7A" w:rsidRPr="00235ABA" w:rsidRDefault="00884668" w:rsidP="00A46E98">
            <w:r w:rsidRPr="00235ABA">
              <w:t xml:space="preserve">Parking Manager </w:t>
            </w:r>
          </w:p>
        </w:tc>
      </w:tr>
      <w:tr w:rsidR="00DF093E" w:rsidRPr="00235ABA" w:rsidTr="00A46E98">
        <w:trPr>
          <w:cantSplit/>
          <w:trHeight w:val="396"/>
        </w:trPr>
        <w:tc>
          <w:tcPr>
            <w:tcW w:w="3969" w:type="dxa"/>
            <w:tcBorders>
              <w:top w:val="nil"/>
              <w:left w:val="single" w:sz="8" w:space="0" w:color="000000"/>
              <w:bottom w:val="nil"/>
              <w:right w:val="nil"/>
            </w:tcBorders>
            <w:shd w:val="clear" w:color="auto" w:fill="auto"/>
          </w:tcPr>
          <w:p w:rsidR="00E87F7A" w:rsidRPr="00235ABA" w:rsidRDefault="00E87F7A" w:rsidP="00A46E98">
            <w:r w:rsidRPr="00235ABA">
              <w:t>Service area or department</w:t>
            </w:r>
          </w:p>
        </w:tc>
        <w:tc>
          <w:tcPr>
            <w:tcW w:w="4962" w:type="dxa"/>
            <w:tcBorders>
              <w:top w:val="nil"/>
              <w:left w:val="nil"/>
              <w:bottom w:val="nil"/>
              <w:right w:val="single" w:sz="8" w:space="0" w:color="000000"/>
            </w:tcBorders>
            <w:shd w:val="clear" w:color="auto" w:fill="auto"/>
          </w:tcPr>
          <w:p w:rsidR="00E87F7A" w:rsidRPr="00235ABA" w:rsidRDefault="00884668" w:rsidP="00A46E98">
            <w:r w:rsidRPr="00235ABA">
              <w:t xml:space="preserve">Direct Services </w:t>
            </w:r>
          </w:p>
        </w:tc>
      </w:tr>
      <w:tr w:rsidR="00DF093E" w:rsidRPr="00235ABA" w:rsidTr="00A46E98">
        <w:trPr>
          <w:cantSplit/>
          <w:trHeight w:val="396"/>
        </w:trPr>
        <w:tc>
          <w:tcPr>
            <w:tcW w:w="3969" w:type="dxa"/>
            <w:tcBorders>
              <w:top w:val="nil"/>
              <w:left w:val="single" w:sz="8" w:space="0" w:color="000000"/>
              <w:bottom w:val="nil"/>
              <w:right w:val="nil"/>
            </w:tcBorders>
            <w:shd w:val="clear" w:color="auto" w:fill="auto"/>
          </w:tcPr>
          <w:p w:rsidR="00E87F7A" w:rsidRPr="00235ABA" w:rsidRDefault="00E87F7A" w:rsidP="00A46E98">
            <w:r w:rsidRPr="00235ABA">
              <w:t xml:space="preserve">Telephone </w:t>
            </w:r>
          </w:p>
        </w:tc>
        <w:tc>
          <w:tcPr>
            <w:tcW w:w="4962" w:type="dxa"/>
            <w:tcBorders>
              <w:top w:val="nil"/>
              <w:left w:val="nil"/>
              <w:bottom w:val="nil"/>
              <w:right w:val="single" w:sz="8" w:space="0" w:color="000000"/>
            </w:tcBorders>
            <w:shd w:val="clear" w:color="auto" w:fill="auto"/>
          </w:tcPr>
          <w:p w:rsidR="00E87F7A" w:rsidRPr="00235ABA" w:rsidRDefault="00884668" w:rsidP="00A46E98">
            <w:r w:rsidRPr="00235ABA">
              <w:t>01865 252125</w:t>
            </w:r>
          </w:p>
        </w:tc>
      </w:tr>
      <w:tr w:rsidR="005570B5" w:rsidRPr="00235ABA"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235ABA" w:rsidRDefault="00E87F7A" w:rsidP="00A46E98">
            <w:r w:rsidRPr="00235ABA">
              <w:t xml:space="preserve">e-mail </w:t>
            </w:r>
          </w:p>
        </w:tc>
        <w:tc>
          <w:tcPr>
            <w:tcW w:w="4962" w:type="dxa"/>
            <w:tcBorders>
              <w:top w:val="nil"/>
              <w:left w:val="nil"/>
              <w:bottom w:val="single" w:sz="8" w:space="0" w:color="000000"/>
              <w:right w:val="single" w:sz="8" w:space="0" w:color="000000"/>
            </w:tcBorders>
            <w:shd w:val="clear" w:color="auto" w:fill="auto"/>
          </w:tcPr>
          <w:p w:rsidR="00E87F7A" w:rsidRPr="00235ABA" w:rsidRDefault="00B204AB" w:rsidP="00884668">
            <w:pPr>
              <w:rPr>
                <w:rStyle w:val="Hyperlink"/>
                <w:color w:val="000000"/>
              </w:rPr>
            </w:pPr>
            <w:hyperlink r:id="rId9" w:history="1">
              <w:r w:rsidR="00884668" w:rsidRPr="00235ABA">
                <w:rPr>
                  <w:rStyle w:val="Hyperlink"/>
                </w:rPr>
                <w:t>Jason.Munro@oxfordds.co.uk</w:t>
              </w:r>
            </w:hyperlink>
            <w:r w:rsidR="00884668" w:rsidRPr="00235ABA">
              <w:rPr>
                <w:rStyle w:val="Hyperlink"/>
                <w:color w:val="000000"/>
              </w:rPr>
              <w:t xml:space="preserve"> </w:t>
            </w:r>
          </w:p>
        </w:tc>
      </w:tr>
    </w:tbl>
    <w:p w:rsidR="00433B96" w:rsidRPr="00235ABA"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235ABA"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235ABA" w:rsidRDefault="00182B81" w:rsidP="00F41AC1">
            <w:r w:rsidRPr="00235ABA">
              <w:rPr>
                <w:rStyle w:val="Firstpagetablebold"/>
              </w:rPr>
              <w:t xml:space="preserve">Background Papers: </w:t>
            </w:r>
            <w:r w:rsidRPr="00235ABA">
              <w:rPr>
                <w:rStyle w:val="Firstpagetablebold"/>
                <w:b w:val="0"/>
              </w:rPr>
              <w:t>None</w:t>
            </w:r>
          </w:p>
        </w:tc>
      </w:tr>
    </w:tbl>
    <w:p w:rsidR="00CE4C87" w:rsidRPr="00235ABA" w:rsidRDefault="00CE4C87" w:rsidP="0093067A"/>
    <w:sectPr w:rsidR="00CE4C87" w:rsidRPr="00235ABA" w:rsidSect="00BC200B">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4E" w:rsidRDefault="00AF6D4E" w:rsidP="004A6D2F">
      <w:r>
        <w:separator/>
      </w:r>
    </w:p>
  </w:endnote>
  <w:endnote w:type="continuationSeparator" w:id="0">
    <w:p w:rsidR="00AF6D4E" w:rsidRDefault="00AF6D4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91" w:rsidRDefault="007B4691" w:rsidP="004A6D2F">
    <w:pPr>
      <w:pStyle w:val="Footer"/>
    </w:pPr>
    <w:r>
      <w:t>Do not use a footer or page numbers.</w:t>
    </w:r>
  </w:p>
  <w:p w:rsidR="007B4691" w:rsidRDefault="007B4691" w:rsidP="004A6D2F">
    <w:pPr>
      <w:pStyle w:val="Footer"/>
    </w:pPr>
  </w:p>
  <w:p w:rsidR="007B4691" w:rsidRDefault="007B469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A4" w:rsidRDefault="003E78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91" w:rsidRDefault="00B204AB" w:rsidP="004A6D2F">
    <w:pPr>
      <w:pStyle w:val="Footer"/>
    </w:pPr>
    <w:r>
      <w:fldChar w:fldCharType="begin"/>
    </w:r>
    <w:r>
      <w:instrText xml:space="preserve"> FILENAME  \* Lower \p  \* MERGEFORMAT </w:instrText>
    </w:r>
    <w:r>
      <w:fldChar w:fldCharType="separate"/>
    </w:r>
    <w:r w:rsidR="003E78A4">
      <w:rPr>
        <w:noProof/>
      </w:rPr>
      <w:t>m:\chief executive\corpsec\secretariat - tim sadler\new structure\directorate\direct services\transport and parking\ceb deck v1.5.docx</w:t>
    </w:r>
    <w:r>
      <w:rPr>
        <w:noProof/>
      </w:rPr>
      <w:fldChar w:fldCharType="end"/>
    </w:r>
    <w:r w:rsidR="007B4691">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4E" w:rsidRDefault="00AF6D4E" w:rsidP="004A6D2F">
      <w:r>
        <w:separator/>
      </w:r>
    </w:p>
  </w:footnote>
  <w:footnote w:type="continuationSeparator" w:id="0">
    <w:p w:rsidR="00AF6D4E" w:rsidRDefault="00AF6D4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A4" w:rsidRDefault="003E7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A4" w:rsidRDefault="003E7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91" w:rsidRDefault="00733C94" w:rsidP="00D5547E">
    <w:pPr>
      <w:pStyle w:val="Header"/>
      <w:jc w:val="right"/>
    </w:pPr>
    <w:r>
      <w:rPr>
        <w:noProof/>
      </w:rPr>
      <w:drawing>
        <wp:inline distT="0" distB="0" distL="0" distR="0" wp14:anchorId="13635C18" wp14:editId="65D0BFAF">
          <wp:extent cx="835025" cy="1121410"/>
          <wp:effectExtent l="0" t="0" r="3175"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9647A4"/>
    <w:multiLevelType w:val="hybridMultilevel"/>
    <w:tmpl w:val="40CC3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2536B0"/>
    <w:multiLevelType w:val="hybridMultilevel"/>
    <w:tmpl w:val="724E7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2A81C11"/>
    <w:multiLevelType w:val="hybridMultilevel"/>
    <w:tmpl w:val="CFDCA4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7"/>
  </w:num>
  <w:num w:numId="2">
    <w:abstractNumId w:val="33"/>
  </w:num>
  <w:num w:numId="3">
    <w:abstractNumId w:val="23"/>
  </w:num>
  <w:num w:numId="4">
    <w:abstractNumId w:val="18"/>
  </w:num>
  <w:num w:numId="5">
    <w:abstractNumId w:val="29"/>
  </w:num>
  <w:num w:numId="6">
    <w:abstractNumId w:val="34"/>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5"/>
  </w:num>
  <w:num w:numId="15">
    <w:abstractNumId w:val="16"/>
  </w:num>
  <w:num w:numId="16">
    <w:abstractNumId w:val="11"/>
  </w:num>
  <w:num w:numId="17">
    <w:abstractNumId w:val="28"/>
  </w:num>
  <w:num w:numId="18">
    <w:abstractNumId w:val="12"/>
  </w:num>
  <w:num w:numId="19">
    <w:abstractNumId w:val="30"/>
  </w:num>
  <w:num w:numId="20">
    <w:abstractNumId w:val="17"/>
  </w:num>
  <w:num w:numId="21">
    <w:abstractNumId w:val="21"/>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35"/>
  </w:num>
  <w:num w:numId="36">
    <w:abstractNumId w:val="35"/>
  </w:num>
  <w:num w:numId="37">
    <w:abstractNumId w:val="35"/>
    <w:lvlOverride w:ilvl="0">
      <w:startOverride w:val="4"/>
    </w:lvlOverride>
  </w:num>
  <w:num w:numId="38">
    <w:abstractNumId w:val="19"/>
  </w:num>
  <w:num w:numId="39">
    <w:abstractNumId w:val="26"/>
  </w:num>
  <w:num w:numId="40">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94"/>
    <w:rsid w:val="00004457"/>
    <w:rsid w:val="000117D4"/>
    <w:rsid w:val="00024741"/>
    <w:rsid w:val="000314D7"/>
    <w:rsid w:val="00045F8B"/>
    <w:rsid w:val="00046D2B"/>
    <w:rsid w:val="00056263"/>
    <w:rsid w:val="000648C3"/>
    <w:rsid w:val="00064D8A"/>
    <w:rsid w:val="00064F82"/>
    <w:rsid w:val="00066510"/>
    <w:rsid w:val="00077523"/>
    <w:rsid w:val="00077E7C"/>
    <w:rsid w:val="00082BD1"/>
    <w:rsid w:val="000922D6"/>
    <w:rsid w:val="00096312"/>
    <w:rsid w:val="000C089F"/>
    <w:rsid w:val="000C328C"/>
    <w:rsid w:val="000C3928"/>
    <w:rsid w:val="000C5E8E"/>
    <w:rsid w:val="000D0252"/>
    <w:rsid w:val="000F4751"/>
    <w:rsid w:val="000F7C3C"/>
    <w:rsid w:val="0010408C"/>
    <w:rsid w:val="0010524C"/>
    <w:rsid w:val="00111FB1"/>
    <w:rsid w:val="00113418"/>
    <w:rsid w:val="00115296"/>
    <w:rsid w:val="001267D8"/>
    <w:rsid w:val="001354BE"/>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1E58C2"/>
    <w:rsid w:val="001F651B"/>
    <w:rsid w:val="002069B3"/>
    <w:rsid w:val="002329CF"/>
    <w:rsid w:val="00232F5B"/>
    <w:rsid w:val="00235ABA"/>
    <w:rsid w:val="00246414"/>
    <w:rsid w:val="00247C29"/>
    <w:rsid w:val="00260467"/>
    <w:rsid w:val="00263EA3"/>
    <w:rsid w:val="00284F85"/>
    <w:rsid w:val="00290048"/>
    <w:rsid w:val="00290915"/>
    <w:rsid w:val="002A17BF"/>
    <w:rsid w:val="002A22E2"/>
    <w:rsid w:val="002C64F7"/>
    <w:rsid w:val="002D3205"/>
    <w:rsid w:val="002D6476"/>
    <w:rsid w:val="002F41F2"/>
    <w:rsid w:val="00301BF3"/>
    <w:rsid w:val="0030208D"/>
    <w:rsid w:val="00323418"/>
    <w:rsid w:val="00331508"/>
    <w:rsid w:val="003357BF"/>
    <w:rsid w:val="00364FAD"/>
    <w:rsid w:val="0036738F"/>
    <w:rsid w:val="0036759C"/>
    <w:rsid w:val="00367AE5"/>
    <w:rsid w:val="00367D71"/>
    <w:rsid w:val="0038150A"/>
    <w:rsid w:val="003A357F"/>
    <w:rsid w:val="003A4198"/>
    <w:rsid w:val="003A6940"/>
    <w:rsid w:val="003B61AE"/>
    <w:rsid w:val="003B6E75"/>
    <w:rsid w:val="003B7DA1"/>
    <w:rsid w:val="003C12EF"/>
    <w:rsid w:val="003C3017"/>
    <w:rsid w:val="003D0379"/>
    <w:rsid w:val="003D2574"/>
    <w:rsid w:val="003D4C59"/>
    <w:rsid w:val="003E78A4"/>
    <w:rsid w:val="003F0823"/>
    <w:rsid w:val="003F4267"/>
    <w:rsid w:val="00404032"/>
    <w:rsid w:val="0040736F"/>
    <w:rsid w:val="00412C1F"/>
    <w:rsid w:val="00421CB2"/>
    <w:rsid w:val="004268B9"/>
    <w:rsid w:val="00433B96"/>
    <w:rsid w:val="00435754"/>
    <w:rsid w:val="004440F1"/>
    <w:rsid w:val="004456DD"/>
    <w:rsid w:val="00446CDF"/>
    <w:rsid w:val="004519BA"/>
    <w:rsid w:val="004521B7"/>
    <w:rsid w:val="00462AB5"/>
    <w:rsid w:val="00465EAF"/>
    <w:rsid w:val="004738C5"/>
    <w:rsid w:val="00491046"/>
    <w:rsid w:val="004A2AC7"/>
    <w:rsid w:val="004A6D2F"/>
    <w:rsid w:val="004C2616"/>
    <w:rsid w:val="004C2887"/>
    <w:rsid w:val="004D2626"/>
    <w:rsid w:val="004D6E26"/>
    <w:rsid w:val="004D77D3"/>
    <w:rsid w:val="004E2959"/>
    <w:rsid w:val="004E6571"/>
    <w:rsid w:val="004F20EF"/>
    <w:rsid w:val="004F62AA"/>
    <w:rsid w:val="0050321C"/>
    <w:rsid w:val="005327BC"/>
    <w:rsid w:val="0053439F"/>
    <w:rsid w:val="0053559E"/>
    <w:rsid w:val="0053718F"/>
    <w:rsid w:val="0054712D"/>
    <w:rsid w:val="00547EF6"/>
    <w:rsid w:val="0055357B"/>
    <w:rsid w:val="0055665E"/>
    <w:rsid w:val="005570B5"/>
    <w:rsid w:val="00567E18"/>
    <w:rsid w:val="00575F5F"/>
    <w:rsid w:val="00581805"/>
    <w:rsid w:val="00585F76"/>
    <w:rsid w:val="005A34E4"/>
    <w:rsid w:val="005B17F2"/>
    <w:rsid w:val="005B7FB0"/>
    <w:rsid w:val="005C35A5"/>
    <w:rsid w:val="005C577C"/>
    <w:rsid w:val="005D0621"/>
    <w:rsid w:val="005D1E27"/>
    <w:rsid w:val="005D2A3E"/>
    <w:rsid w:val="005D6102"/>
    <w:rsid w:val="005E022E"/>
    <w:rsid w:val="005E1F84"/>
    <w:rsid w:val="005E5215"/>
    <w:rsid w:val="005F7F7E"/>
    <w:rsid w:val="00612072"/>
    <w:rsid w:val="00614693"/>
    <w:rsid w:val="006151C0"/>
    <w:rsid w:val="00623C2F"/>
    <w:rsid w:val="00626230"/>
    <w:rsid w:val="00633578"/>
    <w:rsid w:val="00637068"/>
    <w:rsid w:val="00650811"/>
    <w:rsid w:val="00661D3E"/>
    <w:rsid w:val="00676287"/>
    <w:rsid w:val="006866C2"/>
    <w:rsid w:val="00692627"/>
    <w:rsid w:val="006969E7"/>
    <w:rsid w:val="006A1113"/>
    <w:rsid w:val="006A3643"/>
    <w:rsid w:val="006A45B5"/>
    <w:rsid w:val="006A605E"/>
    <w:rsid w:val="006C2A29"/>
    <w:rsid w:val="006C64CF"/>
    <w:rsid w:val="006D17B1"/>
    <w:rsid w:val="006D4752"/>
    <w:rsid w:val="006D708A"/>
    <w:rsid w:val="006E14C1"/>
    <w:rsid w:val="006F0292"/>
    <w:rsid w:val="006F21E6"/>
    <w:rsid w:val="006F27FA"/>
    <w:rsid w:val="006F416B"/>
    <w:rsid w:val="006F519B"/>
    <w:rsid w:val="00711E00"/>
    <w:rsid w:val="00713675"/>
    <w:rsid w:val="00715823"/>
    <w:rsid w:val="00733C94"/>
    <w:rsid w:val="00737B93"/>
    <w:rsid w:val="00745BF0"/>
    <w:rsid w:val="00747FFE"/>
    <w:rsid w:val="007535BF"/>
    <w:rsid w:val="007615FE"/>
    <w:rsid w:val="0076655C"/>
    <w:rsid w:val="007742DC"/>
    <w:rsid w:val="00791437"/>
    <w:rsid w:val="007A1D7C"/>
    <w:rsid w:val="007B0C2C"/>
    <w:rsid w:val="007B278E"/>
    <w:rsid w:val="007B4691"/>
    <w:rsid w:val="007C0AB4"/>
    <w:rsid w:val="007C5C23"/>
    <w:rsid w:val="007E2A26"/>
    <w:rsid w:val="007E78D7"/>
    <w:rsid w:val="007F2348"/>
    <w:rsid w:val="007F599A"/>
    <w:rsid w:val="00803F07"/>
    <w:rsid w:val="0080749A"/>
    <w:rsid w:val="00821FB8"/>
    <w:rsid w:val="00822ACD"/>
    <w:rsid w:val="00832E88"/>
    <w:rsid w:val="00855C66"/>
    <w:rsid w:val="00871EE4"/>
    <w:rsid w:val="00884668"/>
    <w:rsid w:val="008B293F"/>
    <w:rsid w:val="008B7371"/>
    <w:rsid w:val="008D3DDB"/>
    <w:rsid w:val="008D72B5"/>
    <w:rsid w:val="008E36B7"/>
    <w:rsid w:val="008F573F"/>
    <w:rsid w:val="00901281"/>
    <w:rsid w:val="009034EC"/>
    <w:rsid w:val="00905FB9"/>
    <w:rsid w:val="00920C39"/>
    <w:rsid w:val="0093067A"/>
    <w:rsid w:val="00941C60"/>
    <w:rsid w:val="009539F8"/>
    <w:rsid w:val="00953F21"/>
    <w:rsid w:val="00966D42"/>
    <w:rsid w:val="00971689"/>
    <w:rsid w:val="00972697"/>
    <w:rsid w:val="00973E90"/>
    <w:rsid w:val="00975B07"/>
    <w:rsid w:val="00980B4A"/>
    <w:rsid w:val="009E3D0A"/>
    <w:rsid w:val="009E51FC"/>
    <w:rsid w:val="009F1D28"/>
    <w:rsid w:val="009F7618"/>
    <w:rsid w:val="00A01479"/>
    <w:rsid w:val="00A04D23"/>
    <w:rsid w:val="00A06766"/>
    <w:rsid w:val="00A077DC"/>
    <w:rsid w:val="00A13765"/>
    <w:rsid w:val="00A21B12"/>
    <w:rsid w:val="00A23F80"/>
    <w:rsid w:val="00A344AC"/>
    <w:rsid w:val="00A46E98"/>
    <w:rsid w:val="00A6352B"/>
    <w:rsid w:val="00A66759"/>
    <w:rsid w:val="00A701B5"/>
    <w:rsid w:val="00A714BB"/>
    <w:rsid w:val="00A820FC"/>
    <w:rsid w:val="00A83EEA"/>
    <w:rsid w:val="00A861F5"/>
    <w:rsid w:val="00A92D8F"/>
    <w:rsid w:val="00AB2087"/>
    <w:rsid w:val="00AB2988"/>
    <w:rsid w:val="00AB7999"/>
    <w:rsid w:val="00AC1F86"/>
    <w:rsid w:val="00AD145E"/>
    <w:rsid w:val="00AD3292"/>
    <w:rsid w:val="00AE7AF0"/>
    <w:rsid w:val="00AF6D4E"/>
    <w:rsid w:val="00B11AB3"/>
    <w:rsid w:val="00B204AB"/>
    <w:rsid w:val="00B500CA"/>
    <w:rsid w:val="00B86314"/>
    <w:rsid w:val="00BA1C2E"/>
    <w:rsid w:val="00BC200B"/>
    <w:rsid w:val="00BC4756"/>
    <w:rsid w:val="00BC69A4"/>
    <w:rsid w:val="00BE0680"/>
    <w:rsid w:val="00BE305F"/>
    <w:rsid w:val="00BE7019"/>
    <w:rsid w:val="00BE7BA3"/>
    <w:rsid w:val="00BF5682"/>
    <w:rsid w:val="00BF7B09"/>
    <w:rsid w:val="00C00E54"/>
    <w:rsid w:val="00C04C78"/>
    <w:rsid w:val="00C20A95"/>
    <w:rsid w:val="00C2692F"/>
    <w:rsid w:val="00C3207C"/>
    <w:rsid w:val="00C400E1"/>
    <w:rsid w:val="00C41187"/>
    <w:rsid w:val="00C43783"/>
    <w:rsid w:val="00C46515"/>
    <w:rsid w:val="00C56ADC"/>
    <w:rsid w:val="00C626D1"/>
    <w:rsid w:val="00C63C31"/>
    <w:rsid w:val="00C757A0"/>
    <w:rsid w:val="00C760DE"/>
    <w:rsid w:val="00C82630"/>
    <w:rsid w:val="00C85B4E"/>
    <w:rsid w:val="00C907F7"/>
    <w:rsid w:val="00CA2103"/>
    <w:rsid w:val="00CB0DC8"/>
    <w:rsid w:val="00CB6B99"/>
    <w:rsid w:val="00CC7038"/>
    <w:rsid w:val="00CD0340"/>
    <w:rsid w:val="00CE4C87"/>
    <w:rsid w:val="00CE544A"/>
    <w:rsid w:val="00CF3F7A"/>
    <w:rsid w:val="00CF6F47"/>
    <w:rsid w:val="00D11E1C"/>
    <w:rsid w:val="00D160B0"/>
    <w:rsid w:val="00D17F94"/>
    <w:rsid w:val="00D223FC"/>
    <w:rsid w:val="00D26D1E"/>
    <w:rsid w:val="00D474CF"/>
    <w:rsid w:val="00D54779"/>
    <w:rsid w:val="00D5547E"/>
    <w:rsid w:val="00D76BB2"/>
    <w:rsid w:val="00D869A1"/>
    <w:rsid w:val="00D97FDA"/>
    <w:rsid w:val="00DA3391"/>
    <w:rsid w:val="00DA413F"/>
    <w:rsid w:val="00DA4584"/>
    <w:rsid w:val="00DA614B"/>
    <w:rsid w:val="00DB0F00"/>
    <w:rsid w:val="00DC3060"/>
    <w:rsid w:val="00DC592A"/>
    <w:rsid w:val="00DD54D3"/>
    <w:rsid w:val="00DE0FB2"/>
    <w:rsid w:val="00DF093E"/>
    <w:rsid w:val="00E01F42"/>
    <w:rsid w:val="00E04CEF"/>
    <w:rsid w:val="00E0644D"/>
    <w:rsid w:val="00E114A2"/>
    <w:rsid w:val="00E206D6"/>
    <w:rsid w:val="00E3366E"/>
    <w:rsid w:val="00E52086"/>
    <w:rsid w:val="00E543A6"/>
    <w:rsid w:val="00E60479"/>
    <w:rsid w:val="00E61D73"/>
    <w:rsid w:val="00E73684"/>
    <w:rsid w:val="00E818D6"/>
    <w:rsid w:val="00E87F7A"/>
    <w:rsid w:val="00E95B80"/>
    <w:rsid w:val="00E96BD7"/>
    <w:rsid w:val="00EA0DB1"/>
    <w:rsid w:val="00EA0EE9"/>
    <w:rsid w:val="00EA2EE2"/>
    <w:rsid w:val="00ED52CA"/>
    <w:rsid w:val="00ED5860"/>
    <w:rsid w:val="00EE35C9"/>
    <w:rsid w:val="00F05ECA"/>
    <w:rsid w:val="00F11459"/>
    <w:rsid w:val="00F3566E"/>
    <w:rsid w:val="00F375FB"/>
    <w:rsid w:val="00F41AC1"/>
    <w:rsid w:val="00F41CF0"/>
    <w:rsid w:val="00F42F94"/>
    <w:rsid w:val="00F4367A"/>
    <w:rsid w:val="00F445B1"/>
    <w:rsid w:val="00F45CD4"/>
    <w:rsid w:val="00F6409A"/>
    <w:rsid w:val="00F66DCA"/>
    <w:rsid w:val="00F74F53"/>
    <w:rsid w:val="00F7606D"/>
    <w:rsid w:val="00F81670"/>
    <w:rsid w:val="00F82024"/>
    <w:rsid w:val="00F93C56"/>
    <w:rsid w:val="00F95BC9"/>
    <w:rsid w:val="00FA624C"/>
    <w:rsid w:val="00FB0D54"/>
    <w:rsid w:val="00FB3EB3"/>
    <w:rsid w:val="00FB73A0"/>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ilfuvd">
    <w:name w:val="ilfuvd"/>
    <w:rsid w:val="00A01479"/>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0922D6"/>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ilfuvd">
    <w:name w:val="ilfuvd"/>
    <w:rsid w:val="00A01479"/>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0922D6"/>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1094378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0169660">
      <w:bodyDiv w:val="1"/>
      <w:marLeft w:val="0"/>
      <w:marRight w:val="0"/>
      <w:marTop w:val="0"/>
      <w:marBottom w:val="0"/>
      <w:divBdr>
        <w:top w:val="none" w:sz="0" w:space="0" w:color="auto"/>
        <w:left w:val="none" w:sz="0" w:space="0" w:color="auto"/>
        <w:bottom w:val="none" w:sz="0" w:space="0" w:color="auto"/>
        <w:right w:val="none" w:sz="0" w:space="0" w:color="auto"/>
      </w:divBdr>
    </w:div>
    <w:div w:id="1761099358">
      <w:bodyDiv w:val="1"/>
      <w:marLeft w:val="0"/>
      <w:marRight w:val="0"/>
      <w:marTop w:val="0"/>
      <w:marBottom w:val="0"/>
      <w:divBdr>
        <w:top w:val="none" w:sz="0" w:space="0" w:color="auto"/>
        <w:left w:val="none" w:sz="0" w:space="0" w:color="auto"/>
        <w:bottom w:val="none" w:sz="0" w:space="0" w:color="auto"/>
        <w:right w:val="none" w:sz="0" w:space="0" w:color="auto"/>
      </w:divBdr>
    </w:div>
    <w:div w:id="1772972925">
      <w:bodyDiv w:val="1"/>
      <w:marLeft w:val="0"/>
      <w:marRight w:val="0"/>
      <w:marTop w:val="0"/>
      <w:marBottom w:val="0"/>
      <w:divBdr>
        <w:top w:val="none" w:sz="0" w:space="0" w:color="auto"/>
        <w:left w:val="none" w:sz="0" w:space="0" w:color="auto"/>
        <w:bottom w:val="none" w:sz="0" w:space="0" w:color="auto"/>
        <w:right w:val="none" w:sz="0" w:space="0" w:color="auto"/>
      </w:divBdr>
      <w:divsChild>
        <w:div w:id="2030108918">
          <w:marLeft w:val="0"/>
          <w:marRight w:val="0"/>
          <w:marTop w:val="0"/>
          <w:marBottom w:val="0"/>
          <w:divBdr>
            <w:top w:val="none" w:sz="0" w:space="0" w:color="auto"/>
            <w:left w:val="none" w:sz="0" w:space="0" w:color="auto"/>
            <w:bottom w:val="none" w:sz="0" w:space="0" w:color="auto"/>
            <w:right w:val="none" w:sz="0" w:space="0" w:color="auto"/>
          </w:divBdr>
          <w:divsChild>
            <w:div w:id="1546525454">
              <w:marLeft w:val="0"/>
              <w:marRight w:val="0"/>
              <w:marTop w:val="0"/>
              <w:marBottom w:val="0"/>
              <w:divBdr>
                <w:top w:val="none" w:sz="0" w:space="0" w:color="auto"/>
                <w:left w:val="none" w:sz="0" w:space="0" w:color="auto"/>
                <w:bottom w:val="none" w:sz="0" w:space="0" w:color="auto"/>
                <w:right w:val="none" w:sz="0" w:space="0" w:color="auto"/>
              </w:divBdr>
              <w:divsChild>
                <w:div w:id="1390882802">
                  <w:marLeft w:val="0"/>
                  <w:marRight w:val="0"/>
                  <w:marTop w:val="0"/>
                  <w:marBottom w:val="0"/>
                  <w:divBdr>
                    <w:top w:val="none" w:sz="0" w:space="0" w:color="auto"/>
                    <w:left w:val="none" w:sz="0" w:space="0" w:color="auto"/>
                    <w:bottom w:val="none" w:sz="0" w:space="0" w:color="auto"/>
                    <w:right w:val="none" w:sz="0" w:space="0" w:color="auto"/>
                  </w:divBdr>
                  <w:divsChild>
                    <w:div w:id="902790325">
                      <w:marLeft w:val="0"/>
                      <w:marRight w:val="0"/>
                      <w:marTop w:val="45"/>
                      <w:marBottom w:val="0"/>
                      <w:divBdr>
                        <w:top w:val="none" w:sz="0" w:space="0" w:color="auto"/>
                        <w:left w:val="none" w:sz="0" w:space="0" w:color="auto"/>
                        <w:bottom w:val="none" w:sz="0" w:space="0" w:color="auto"/>
                        <w:right w:val="none" w:sz="0" w:space="0" w:color="auto"/>
                      </w:divBdr>
                      <w:divsChild>
                        <w:div w:id="480850982">
                          <w:marLeft w:val="0"/>
                          <w:marRight w:val="0"/>
                          <w:marTop w:val="0"/>
                          <w:marBottom w:val="0"/>
                          <w:divBdr>
                            <w:top w:val="none" w:sz="0" w:space="0" w:color="auto"/>
                            <w:left w:val="none" w:sz="0" w:space="0" w:color="auto"/>
                            <w:bottom w:val="none" w:sz="0" w:space="0" w:color="auto"/>
                            <w:right w:val="none" w:sz="0" w:space="0" w:color="auto"/>
                          </w:divBdr>
                          <w:divsChild>
                            <w:div w:id="1000162950">
                              <w:marLeft w:val="2070"/>
                              <w:marRight w:val="3960"/>
                              <w:marTop w:val="0"/>
                              <w:marBottom w:val="0"/>
                              <w:divBdr>
                                <w:top w:val="none" w:sz="0" w:space="0" w:color="auto"/>
                                <w:left w:val="none" w:sz="0" w:space="0" w:color="auto"/>
                                <w:bottom w:val="none" w:sz="0" w:space="0" w:color="auto"/>
                                <w:right w:val="none" w:sz="0" w:space="0" w:color="auto"/>
                              </w:divBdr>
                              <w:divsChild>
                                <w:div w:id="1074745578">
                                  <w:marLeft w:val="0"/>
                                  <w:marRight w:val="0"/>
                                  <w:marTop w:val="0"/>
                                  <w:marBottom w:val="0"/>
                                  <w:divBdr>
                                    <w:top w:val="none" w:sz="0" w:space="0" w:color="auto"/>
                                    <w:left w:val="none" w:sz="0" w:space="0" w:color="auto"/>
                                    <w:bottom w:val="none" w:sz="0" w:space="0" w:color="auto"/>
                                    <w:right w:val="none" w:sz="0" w:space="0" w:color="auto"/>
                                  </w:divBdr>
                                  <w:divsChild>
                                    <w:div w:id="1463886031">
                                      <w:marLeft w:val="0"/>
                                      <w:marRight w:val="0"/>
                                      <w:marTop w:val="0"/>
                                      <w:marBottom w:val="0"/>
                                      <w:divBdr>
                                        <w:top w:val="none" w:sz="0" w:space="0" w:color="auto"/>
                                        <w:left w:val="none" w:sz="0" w:space="0" w:color="auto"/>
                                        <w:bottom w:val="none" w:sz="0" w:space="0" w:color="auto"/>
                                        <w:right w:val="none" w:sz="0" w:space="0" w:color="auto"/>
                                      </w:divBdr>
                                      <w:divsChild>
                                        <w:div w:id="1678773084">
                                          <w:marLeft w:val="0"/>
                                          <w:marRight w:val="0"/>
                                          <w:marTop w:val="0"/>
                                          <w:marBottom w:val="0"/>
                                          <w:divBdr>
                                            <w:top w:val="none" w:sz="0" w:space="0" w:color="auto"/>
                                            <w:left w:val="none" w:sz="0" w:space="0" w:color="auto"/>
                                            <w:bottom w:val="none" w:sz="0" w:space="0" w:color="auto"/>
                                            <w:right w:val="none" w:sz="0" w:space="0" w:color="auto"/>
                                          </w:divBdr>
                                          <w:divsChild>
                                            <w:div w:id="1297757627">
                                              <w:marLeft w:val="0"/>
                                              <w:marRight w:val="0"/>
                                              <w:marTop w:val="90"/>
                                              <w:marBottom w:val="0"/>
                                              <w:divBdr>
                                                <w:top w:val="none" w:sz="0" w:space="0" w:color="auto"/>
                                                <w:left w:val="none" w:sz="0" w:space="0" w:color="auto"/>
                                                <w:bottom w:val="none" w:sz="0" w:space="0" w:color="auto"/>
                                                <w:right w:val="none" w:sz="0" w:space="0" w:color="auto"/>
                                              </w:divBdr>
                                              <w:divsChild>
                                                <w:div w:id="1260455051">
                                                  <w:marLeft w:val="0"/>
                                                  <w:marRight w:val="0"/>
                                                  <w:marTop w:val="0"/>
                                                  <w:marBottom w:val="0"/>
                                                  <w:divBdr>
                                                    <w:top w:val="none" w:sz="0" w:space="0" w:color="auto"/>
                                                    <w:left w:val="none" w:sz="0" w:space="0" w:color="auto"/>
                                                    <w:bottom w:val="none" w:sz="0" w:space="0" w:color="auto"/>
                                                    <w:right w:val="none" w:sz="0" w:space="0" w:color="auto"/>
                                                  </w:divBdr>
                                                  <w:divsChild>
                                                    <w:div w:id="518592562">
                                                      <w:marLeft w:val="0"/>
                                                      <w:marRight w:val="0"/>
                                                      <w:marTop w:val="0"/>
                                                      <w:marBottom w:val="0"/>
                                                      <w:divBdr>
                                                        <w:top w:val="none" w:sz="0" w:space="0" w:color="auto"/>
                                                        <w:left w:val="none" w:sz="0" w:space="0" w:color="auto"/>
                                                        <w:bottom w:val="none" w:sz="0" w:space="0" w:color="auto"/>
                                                        <w:right w:val="none" w:sz="0" w:space="0" w:color="auto"/>
                                                      </w:divBdr>
                                                      <w:divsChild>
                                                        <w:div w:id="1023677005">
                                                          <w:marLeft w:val="0"/>
                                                          <w:marRight w:val="0"/>
                                                          <w:marTop w:val="0"/>
                                                          <w:marBottom w:val="390"/>
                                                          <w:divBdr>
                                                            <w:top w:val="none" w:sz="0" w:space="0" w:color="auto"/>
                                                            <w:left w:val="none" w:sz="0" w:space="0" w:color="auto"/>
                                                            <w:bottom w:val="none" w:sz="0" w:space="0" w:color="auto"/>
                                                            <w:right w:val="none" w:sz="0" w:space="0" w:color="auto"/>
                                                          </w:divBdr>
                                                          <w:divsChild>
                                                            <w:div w:id="819619568">
                                                              <w:marLeft w:val="0"/>
                                                              <w:marRight w:val="0"/>
                                                              <w:marTop w:val="0"/>
                                                              <w:marBottom w:val="0"/>
                                                              <w:divBdr>
                                                                <w:top w:val="none" w:sz="0" w:space="0" w:color="auto"/>
                                                                <w:left w:val="none" w:sz="0" w:space="0" w:color="auto"/>
                                                                <w:bottom w:val="none" w:sz="0" w:space="0" w:color="auto"/>
                                                                <w:right w:val="none" w:sz="0" w:space="0" w:color="auto"/>
                                                              </w:divBdr>
                                                              <w:divsChild>
                                                                <w:div w:id="808518384">
                                                                  <w:marLeft w:val="0"/>
                                                                  <w:marRight w:val="0"/>
                                                                  <w:marTop w:val="0"/>
                                                                  <w:marBottom w:val="0"/>
                                                                  <w:divBdr>
                                                                    <w:top w:val="none" w:sz="0" w:space="0" w:color="auto"/>
                                                                    <w:left w:val="none" w:sz="0" w:space="0" w:color="auto"/>
                                                                    <w:bottom w:val="none" w:sz="0" w:space="0" w:color="auto"/>
                                                                    <w:right w:val="none" w:sz="0" w:space="0" w:color="auto"/>
                                                                  </w:divBdr>
                                                                  <w:divsChild>
                                                                    <w:div w:id="1642151735">
                                                                      <w:marLeft w:val="0"/>
                                                                      <w:marRight w:val="0"/>
                                                                      <w:marTop w:val="0"/>
                                                                      <w:marBottom w:val="0"/>
                                                                      <w:divBdr>
                                                                        <w:top w:val="none" w:sz="0" w:space="0" w:color="auto"/>
                                                                        <w:left w:val="none" w:sz="0" w:space="0" w:color="auto"/>
                                                                        <w:bottom w:val="none" w:sz="0" w:space="0" w:color="auto"/>
                                                                        <w:right w:val="none" w:sz="0" w:space="0" w:color="auto"/>
                                                                      </w:divBdr>
                                                                      <w:divsChild>
                                                                        <w:div w:id="933588428">
                                                                          <w:marLeft w:val="0"/>
                                                                          <w:marRight w:val="0"/>
                                                                          <w:marTop w:val="0"/>
                                                                          <w:marBottom w:val="0"/>
                                                                          <w:divBdr>
                                                                            <w:top w:val="none" w:sz="0" w:space="0" w:color="auto"/>
                                                                            <w:left w:val="none" w:sz="0" w:space="0" w:color="auto"/>
                                                                            <w:bottom w:val="none" w:sz="0" w:space="0" w:color="auto"/>
                                                                            <w:right w:val="none" w:sz="0" w:space="0" w:color="auto"/>
                                                                          </w:divBdr>
                                                                          <w:divsChild>
                                                                            <w:div w:id="258605554">
                                                                              <w:marLeft w:val="0"/>
                                                                              <w:marRight w:val="0"/>
                                                                              <w:marTop w:val="0"/>
                                                                              <w:marBottom w:val="0"/>
                                                                              <w:divBdr>
                                                                                <w:top w:val="none" w:sz="0" w:space="0" w:color="auto"/>
                                                                                <w:left w:val="none" w:sz="0" w:space="0" w:color="auto"/>
                                                                                <w:bottom w:val="none" w:sz="0" w:space="0" w:color="auto"/>
                                                                                <w:right w:val="none" w:sz="0" w:space="0" w:color="auto"/>
                                                                              </w:divBdr>
                                                                              <w:divsChild>
                                                                                <w:div w:id="6173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812941">
      <w:bodyDiv w:val="1"/>
      <w:marLeft w:val="0"/>
      <w:marRight w:val="0"/>
      <w:marTop w:val="0"/>
      <w:marBottom w:val="0"/>
      <w:divBdr>
        <w:top w:val="none" w:sz="0" w:space="0" w:color="auto"/>
        <w:left w:val="none" w:sz="0" w:space="0" w:color="auto"/>
        <w:bottom w:val="none" w:sz="0" w:space="0" w:color="auto"/>
        <w:right w:val="none" w:sz="0" w:space="0" w:color="auto"/>
      </w:divBdr>
    </w:div>
    <w:div w:id="21197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Munro@oxfordds.co.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djas\Downloads\CEB%20report%20-%20Decking%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065D-0300-4607-8083-814A7E3B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Decking (1)</Template>
  <TotalTime>26</TotalTime>
  <Pages>7</Pages>
  <Words>1864</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11356</CharactersWithSpaces>
  <SharedDoc>false</SharedDoc>
  <HLinks>
    <vt:vector size="6" baseType="variant">
      <vt:variant>
        <vt:i4>5374048</vt:i4>
      </vt:variant>
      <vt:variant>
        <vt:i4>0</vt:i4>
      </vt:variant>
      <vt:variant>
        <vt:i4>0</vt:i4>
      </vt:variant>
      <vt:variant>
        <vt:i4>5</vt:i4>
      </vt:variant>
      <vt:variant>
        <vt:lpwstr>mailto:Jason.Munro@oxfordds.co.uk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samandjas</dc:creator>
  <cp:lastModifiedBy>JMitchell</cp:lastModifiedBy>
  <cp:revision>6</cp:revision>
  <cp:lastPrinted>2019-01-02T17:11:00Z</cp:lastPrinted>
  <dcterms:created xsi:type="dcterms:W3CDTF">2019-01-17T14:59:00Z</dcterms:created>
  <dcterms:modified xsi:type="dcterms:W3CDTF">2019-01-17T16:06:00Z</dcterms:modified>
</cp:coreProperties>
</file>